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00B8" w14:textId="77777777" w:rsidR="00FD5030" w:rsidRDefault="00FD5030" w:rsidP="00FD5030">
      <w:pPr>
        <w:jc w:val="center"/>
        <w:rPr>
          <w:b/>
        </w:rPr>
      </w:pPr>
      <w:r>
        <w:rPr>
          <w:b/>
        </w:rPr>
        <w:t xml:space="preserve">Análise de Componentes Principais e Clusterização como ferramentas de mitigação de riscos de detecção </w:t>
      </w:r>
      <w:r w:rsidRPr="00E445AC">
        <w:rPr>
          <w:b/>
        </w:rPr>
        <w:t xml:space="preserve">nas </w:t>
      </w:r>
      <w:r>
        <w:rPr>
          <w:b/>
        </w:rPr>
        <w:t>auditorias da Marinha do Brasil</w:t>
      </w:r>
    </w:p>
    <w:p w14:paraId="4EE957C7" w14:textId="77777777" w:rsidR="00FD5030" w:rsidRDefault="00FD5030" w:rsidP="00FD5030">
      <w:pPr>
        <w:spacing w:line="259" w:lineRule="auto"/>
        <w:ind w:left="54"/>
        <w:jc w:val="center"/>
      </w:pPr>
      <w:r>
        <w:t xml:space="preserve"> </w:t>
      </w:r>
    </w:p>
    <w:p w14:paraId="68D94B53" w14:textId="0AFFB18D" w:rsidR="00FD5030" w:rsidRDefault="00FD5030" w:rsidP="00FD5030">
      <w:pPr>
        <w:spacing w:line="259" w:lineRule="auto"/>
        <w:ind w:left="10" w:hanging="10"/>
        <w:jc w:val="center"/>
        <w:rPr>
          <w:color w:val="FF0000"/>
        </w:rPr>
      </w:pPr>
      <w:r>
        <w:rPr>
          <w:b/>
        </w:rPr>
        <w:t xml:space="preserve">Autoria: </w:t>
      </w:r>
      <w:r>
        <w:t>C-</w:t>
      </w:r>
      <w:proofErr w:type="spellStart"/>
      <w:r>
        <w:t>ApA</w:t>
      </w:r>
      <w:proofErr w:type="spellEnd"/>
      <w:r>
        <w:t xml:space="preserve">-IM 2022 - </w:t>
      </w:r>
      <w:r w:rsidR="000E492D">
        <w:t>0</w:t>
      </w:r>
      <w:r>
        <w:t>52</w:t>
      </w:r>
    </w:p>
    <w:p w14:paraId="732BADC7" w14:textId="77777777" w:rsidR="00FD5030" w:rsidRDefault="00FD5030" w:rsidP="00FD5030">
      <w:pPr>
        <w:spacing w:line="259" w:lineRule="auto"/>
        <w:rPr>
          <w:color w:val="FF0000"/>
        </w:rPr>
      </w:pPr>
      <w:r>
        <w:rPr>
          <w:color w:val="FF0000"/>
        </w:rPr>
        <w:t xml:space="preserve"> </w:t>
      </w:r>
    </w:p>
    <w:p w14:paraId="6DB6AA72" w14:textId="2F625034" w:rsidR="00FD5030" w:rsidRDefault="00FD5030" w:rsidP="00FD5030">
      <w:pPr>
        <w:pStyle w:val="Ttulo1"/>
        <w:ind w:left="-5"/>
        <w:jc w:val="center"/>
        <w:rPr>
          <w:lang w:val="pt-BR"/>
        </w:rPr>
      </w:pPr>
      <w:r>
        <w:rPr>
          <w:lang w:val="pt-BR"/>
        </w:rPr>
        <w:t>RESUMO</w:t>
      </w:r>
      <w:r w:rsidR="00356631">
        <w:rPr>
          <w:lang w:val="pt-BR"/>
        </w:rPr>
        <w:t xml:space="preserve"> </w:t>
      </w:r>
    </w:p>
    <w:p w14:paraId="2C6473A3" w14:textId="77777777" w:rsidR="00FD5030" w:rsidRDefault="00FD5030" w:rsidP="00FD5030">
      <w:pPr>
        <w:spacing w:line="259" w:lineRule="auto"/>
        <w:jc w:val="both"/>
      </w:pPr>
    </w:p>
    <w:p w14:paraId="1EDA8BBF" w14:textId="32AB79A9" w:rsidR="00364D60" w:rsidRPr="00364D60" w:rsidRDefault="00364D60" w:rsidP="00364D60">
      <w:pPr>
        <w:jc w:val="both"/>
        <w:rPr>
          <w:color w:val="000000"/>
        </w:rPr>
      </w:pPr>
      <w:r w:rsidRPr="00364D60">
        <w:rPr>
          <w:color w:val="000000"/>
        </w:rPr>
        <w:t>O elevado valor financeiro e o colossal banco de dados inerente às folhas mensais de pagamento da Marinha do Brasil exigem que o planejamento das auditorias de pagamento de pessoal do Centro de Controle Interno da Marinha (CCIMAR) seja feito com exímio detalhamento e com técnicas apuradas. Assim, este artigo procurou demonstrar como a Análise de Componentes Principais (ACP) pode contribuir para a seleção dos processos de pagamento</w:t>
      </w:r>
      <w:r w:rsidR="00BE4591">
        <w:rPr>
          <w:color w:val="000000"/>
        </w:rPr>
        <w:t xml:space="preserve"> de pessoal</w:t>
      </w:r>
      <w:r w:rsidRPr="00364D60">
        <w:rPr>
          <w:color w:val="000000"/>
        </w:rPr>
        <w:t xml:space="preserve"> passíveis de auditoria, com a finalidade de mitigação dos riscos de detecção das auditorias. Para tal, utilizou-se a linguagem de programação </w:t>
      </w:r>
      <w:r w:rsidRPr="00364D60">
        <w:rPr>
          <w:i/>
          <w:iCs/>
          <w:color w:val="000000"/>
        </w:rPr>
        <w:t xml:space="preserve">Python </w:t>
      </w:r>
      <w:r w:rsidRPr="00364D60">
        <w:rPr>
          <w:color w:val="000000"/>
        </w:rPr>
        <w:t xml:space="preserve">e de algoritmos de programação, que possibilitaram a clusterização do banco de dados. Após a análise dos resultados, concluiu-se que a ACP </w:t>
      </w:r>
      <w:r w:rsidR="00810A62">
        <w:rPr>
          <w:color w:val="000000"/>
        </w:rPr>
        <w:t>p</w:t>
      </w:r>
      <w:r w:rsidR="00EA3C36">
        <w:rPr>
          <w:color w:val="000000"/>
        </w:rPr>
        <w:t>ermitiu</w:t>
      </w:r>
      <w:r w:rsidR="00810A62">
        <w:rPr>
          <w:color w:val="000000"/>
        </w:rPr>
        <w:t xml:space="preserve"> a identificação de </w:t>
      </w:r>
      <w:r w:rsidRPr="00364D60">
        <w:rPr>
          <w:color w:val="000000"/>
        </w:rPr>
        <w:t>processos de pagamento</w:t>
      </w:r>
      <w:r w:rsidR="00810A62">
        <w:rPr>
          <w:color w:val="000000"/>
        </w:rPr>
        <w:t xml:space="preserve"> atípicos, que podem vir a  ser objeto de </w:t>
      </w:r>
      <w:r w:rsidRPr="00364D60">
        <w:rPr>
          <w:color w:val="000000"/>
        </w:rPr>
        <w:t>auditoria por parte do CCIMAR, possibilitando um foco nos esforços de análise e a mitigação dos riscos de detecção.</w:t>
      </w:r>
    </w:p>
    <w:p w14:paraId="6BC1CF12" w14:textId="323D493E" w:rsidR="00FD5030" w:rsidRDefault="00FD5030" w:rsidP="00E476F9">
      <w:pPr>
        <w:jc w:val="both"/>
      </w:pPr>
      <w:r>
        <w:rPr>
          <w:b/>
        </w:rPr>
        <w:t>Palavras-chave:</w:t>
      </w:r>
      <w:r>
        <w:t xml:space="preserve"> </w:t>
      </w:r>
      <w:r w:rsidR="00364D60" w:rsidRPr="00364D60">
        <w:rPr>
          <w:color w:val="000000"/>
        </w:rPr>
        <w:t>Análise de Componentes Principais (ACP). Clusterização. Riscos de detecção. Seleção de itens em auditoria</w:t>
      </w:r>
      <w:r w:rsidR="00364D60">
        <w:t>.</w:t>
      </w:r>
    </w:p>
    <w:p w14:paraId="742F95F4" w14:textId="77777777" w:rsidR="00364D60" w:rsidRDefault="00364D60" w:rsidP="00364D60"/>
    <w:p w14:paraId="46379F5A" w14:textId="77777777" w:rsidR="004D4732" w:rsidRDefault="00FD5030" w:rsidP="00FD5030">
      <w:pPr>
        <w:pStyle w:val="Ttulo1"/>
        <w:spacing w:after="0" w:line="240" w:lineRule="auto"/>
        <w:jc w:val="both"/>
        <w:rPr>
          <w:color w:val="auto"/>
          <w:lang w:val="pt-BR"/>
        </w:rPr>
      </w:pPr>
      <w:r>
        <w:rPr>
          <w:color w:val="auto"/>
          <w:lang w:val="pt-BR"/>
        </w:rPr>
        <w:t>1 INTRODUÇÃO</w:t>
      </w:r>
    </w:p>
    <w:p w14:paraId="0531E958" w14:textId="7345576B" w:rsidR="00FD5030" w:rsidRDefault="00FD5030" w:rsidP="00FD5030">
      <w:pPr>
        <w:pStyle w:val="Ttulo1"/>
        <w:spacing w:after="0" w:line="240" w:lineRule="auto"/>
        <w:jc w:val="both"/>
        <w:rPr>
          <w:color w:val="auto"/>
          <w:lang w:val="pt-BR"/>
        </w:rPr>
      </w:pPr>
      <w:r>
        <w:rPr>
          <w:color w:val="auto"/>
          <w:lang w:val="pt-BR"/>
        </w:rPr>
        <w:t xml:space="preserve"> </w:t>
      </w:r>
      <w:r>
        <w:rPr>
          <w:color w:val="2A6099"/>
          <w:lang w:val="pt-BR"/>
        </w:rPr>
        <w:t xml:space="preserve"> </w:t>
      </w:r>
    </w:p>
    <w:p w14:paraId="24C94FA3" w14:textId="77777777" w:rsidR="00364D60" w:rsidRPr="00364D60" w:rsidRDefault="00364D60" w:rsidP="00364D60">
      <w:pPr>
        <w:ind w:firstLine="720"/>
        <w:jc w:val="both"/>
        <w:rPr>
          <w:color w:val="000000"/>
        </w:rPr>
      </w:pPr>
      <w:r w:rsidRPr="00364D60">
        <w:rPr>
          <w:color w:val="000000"/>
        </w:rPr>
        <w:t xml:space="preserve">As folhas de pagamento das grandes organizações compreendem, </w:t>
      </w:r>
      <w:proofErr w:type="gramStart"/>
      <w:r w:rsidRPr="00364D60">
        <w:rPr>
          <w:color w:val="000000"/>
        </w:rPr>
        <w:t>via de regra</w:t>
      </w:r>
      <w:proofErr w:type="gramEnd"/>
      <w:r w:rsidRPr="00364D60">
        <w:rPr>
          <w:color w:val="000000"/>
        </w:rPr>
        <w:t>, um grande montante de recursos financeiros e, por este motivo, devem ser alvo de atenção especial no planejamento das auditorias dos órgãos de fiscalização, com o intuito de que eventuais erros sejam detectados. A Marinha do Brasil (MB), exemplo de grande organização governamental, somente entre os meses de janeiro e setembro de 2022, apresentou uma folha de pagamento para os militares em atividade superior a 8 (oito) bilhões de reais, conforme dados contidos no Sistema Integrado de Planejamento e Orçamento (BRASIL, 2022).</w:t>
      </w:r>
    </w:p>
    <w:p w14:paraId="5A00E885" w14:textId="6AFD1834" w:rsidR="00364D60" w:rsidRPr="00364D60" w:rsidRDefault="00364D60" w:rsidP="00364D60">
      <w:pPr>
        <w:ind w:firstLine="720"/>
        <w:jc w:val="both"/>
        <w:rPr>
          <w:color w:val="000000"/>
        </w:rPr>
      </w:pPr>
      <w:r w:rsidRPr="00364D60">
        <w:rPr>
          <w:color w:val="000000"/>
        </w:rPr>
        <w:t xml:space="preserve">Neste sentido, pelo volume de recursos que o objeto de controle envolve, conferindo-lhe alto grau de materialidade, o Centro de Controle Interno da Marinha (CCIMAR), como Unidade de Auditoria Interna Governamental (BRASIL, 2017a) adota procedimentos para que distorções relevantes nos processos de pagamento dos militares, caso existentes, não deixem de ser encontradas por ocasião das auditorias realizadas, contribuindo, </w:t>
      </w:r>
      <w:r w:rsidR="00BD481E">
        <w:rPr>
          <w:color w:val="000000"/>
        </w:rPr>
        <w:t>destarte</w:t>
      </w:r>
      <w:r w:rsidRPr="00364D60">
        <w:rPr>
          <w:color w:val="000000"/>
        </w:rPr>
        <w:t>, para o bom uso do Erário (BRASIL, 1988). </w:t>
      </w:r>
    </w:p>
    <w:p w14:paraId="6FE51B04" w14:textId="77777777" w:rsidR="00364D60" w:rsidRPr="00364D60" w:rsidRDefault="00364D60" w:rsidP="00364D60">
      <w:pPr>
        <w:ind w:firstLine="720"/>
        <w:jc w:val="both"/>
        <w:rPr>
          <w:color w:val="000000"/>
        </w:rPr>
      </w:pPr>
      <w:r w:rsidRPr="00364D60">
        <w:rPr>
          <w:color w:val="000000"/>
        </w:rPr>
        <w:t>O risco de que os procedimentos de auditoria não captem tais distorções relevantes é denominado risco de detecção (BRASIL, 2017b) e pode ser mitigado com uma correta seleção de itens de pagamento que devam ser auditados (CFC, 2016). Técnicas estatísticas podem ser utilizadas com este objetivo, principalmente quando não é viável o exame de todos os itens de uma população (BRASIL, 2017b). </w:t>
      </w:r>
    </w:p>
    <w:p w14:paraId="434A6D73" w14:textId="77777777" w:rsidR="00364D60" w:rsidRPr="00364D60" w:rsidRDefault="00364D60" w:rsidP="00364D60">
      <w:pPr>
        <w:ind w:firstLine="720"/>
        <w:jc w:val="both"/>
        <w:rPr>
          <w:color w:val="000000"/>
        </w:rPr>
      </w:pPr>
      <w:r w:rsidRPr="00364D60">
        <w:rPr>
          <w:color w:val="000000"/>
        </w:rPr>
        <w:t>Uma técnica estatística muito útil para extrair as informações mais importantes de uma tabela de dados é a Análise de Componentes Principais (ACP) (ABDI; WILLIAMS, 2010). A ACP é um método exploratório adaptativo que pode ser usado em dados numéricos de vários tipos</w:t>
      </w:r>
      <w:r w:rsidRPr="00364D60">
        <w:rPr>
          <w:color w:val="2A6099"/>
        </w:rPr>
        <w:t>,</w:t>
      </w:r>
      <w:r w:rsidRPr="00364D60">
        <w:rPr>
          <w:color w:val="000000"/>
        </w:rPr>
        <w:t xml:space="preserve"> não precisando de suposições de distribuição (JOLLIFFE; CADIMA, 2016), e que possui, como um dos objetivos, extrair as informações mais importantes da tabela de dados (ABDI; WILLIAMS, 2010).</w:t>
      </w:r>
    </w:p>
    <w:p w14:paraId="1955BE81" w14:textId="77777777" w:rsidR="00364D60" w:rsidRPr="00364D60" w:rsidRDefault="00364D60" w:rsidP="00364D60">
      <w:pPr>
        <w:ind w:firstLine="720"/>
        <w:jc w:val="both"/>
        <w:rPr>
          <w:color w:val="000000"/>
        </w:rPr>
      </w:pPr>
      <w:r w:rsidRPr="00364D60">
        <w:rPr>
          <w:color w:val="000000"/>
        </w:rPr>
        <w:t>Neste contexto, elaborou-se o problema desta pesquisa: valendo-se da ACP com o intuito de mitigar-se os riscos de detecção, quais processos de pagamento devem ser objeto de atenção especial por ocasião do planejamento das auditorias de pagamento de pessoal na MB?</w:t>
      </w:r>
    </w:p>
    <w:p w14:paraId="097A19A8" w14:textId="77777777" w:rsidR="00364D60" w:rsidRPr="00364D60" w:rsidRDefault="00364D60" w:rsidP="00364D60">
      <w:pPr>
        <w:ind w:firstLine="851"/>
        <w:jc w:val="both"/>
        <w:rPr>
          <w:color w:val="000000"/>
        </w:rPr>
      </w:pPr>
      <w:r w:rsidRPr="00364D60">
        <w:rPr>
          <w:color w:val="000000"/>
        </w:rPr>
        <w:lastRenderedPageBreak/>
        <w:t xml:space="preserve">Com o fito de responder esta pergunta, o artigo tem como objetivo geral selecionar, via ACP, processos de pagamento de auditoria relevantes, com vistas a mitigar os riscos de detecção no planejamento das auditorias de pagamento de pessoal. Para a consecução deste objetivo, outros objetivos específicos foram delineados, quais sejam: i) apresentar os conceitos de auditoria interna governamental e de riscos de auditoria; e </w:t>
      </w:r>
      <w:proofErr w:type="spellStart"/>
      <w:r w:rsidRPr="00364D60">
        <w:rPr>
          <w:color w:val="000000"/>
        </w:rPr>
        <w:t>ii</w:t>
      </w:r>
      <w:proofErr w:type="spellEnd"/>
      <w:r w:rsidRPr="00364D60">
        <w:rPr>
          <w:color w:val="000000"/>
        </w:rPr>
        <w:t>) conceituar a ACP e demonstrar sua aplicabilidade na técnica de clusterização.</w:t>
      </w:r>
    </w:p>
    <w:p w14:paraId="2C36FDC0" w14:textId="747E1CE7" w:rsidR="00364D60" w:rsidRPr="00364D60" w:rsidRDefault="00364D60" w:rsidP="00364D60">
      <w:pPr>
        <w:ind w:firstLine="720"/>
        <w:jc w:val="both"/>
        <w:rPr>
          <w:color w:val="000000"/>
        </w:rPr>
      </w:pPr>
      <w:r w:rsidRPr="00364D60">
        <w:rPr>
          <w:color w:val="000000"/>
        </w:rPr>
        <w:t xml:space="preserve">A pertinência deste estudo encontra sustentáculo, pois, tanto no volume financeiro envolvido no pagamento de pessoal da MB e a consequente necessidade de se analisar o grande volume de dados envolvidos, como </w:t>
      </w:r>
      <w:r w:rsidR="000327C8">
        <w:rPr>
          <w:color w:val="000000"/>
        </w:rPr>
        <w:t>na incipiência</w:t>
      </w:r>
      <w:r w:rsidRPr="00364D60">
        <w:rPr>
          <w:color w:val="000000"/>
        </w:rPr>
        <w:t xml:space="preserve"> do assunto no âmbito da MB, já que poucos estudos anteriores sobre auditoria se debruçaram sobre folhas de pagamento. Espera-se, </w:t>
      </w:r>
      <w:r w:rsidR="001252A9">
        <w:rPr>
          <w:color w:val="000000"/>
        </w:rPr>
        <w:t>assim</w:t>
      </w:r>
      <w:r w:rsidRPr="00364D60">
        <w:rPr>
          <w:color w:val="000000"/>
        </w:rPr>
        <w:t>, que contribua de maneira ímpar, dada a possibilidade de melhoria da eficiência operacional no planejamento das auditorias do CCIMAR. </w:t>
      </w:r>
    </w:p>
    <w:p w14:paraId="54B17FAC" w14:textId="77777777" w:rsidR="00364D60" w:rsidRPr="00364D60" w:rsidRDefault="00364D60" w:rsidP="00364D60">
      <w:pPr>
        <w:ind w:firstLine="720"/>
        <w:jc w:val="both"/>
        <w:rPr>
          <w:color w:val="000000"/>
        </w:rPr>
      </w:pPr>
      <w:r w:rsidRPr="00364D60">
        <w:rPr>
          <w:color w:val="000000"/>
        </w:rPr>
        <w:t xml:space="preserve">Quanto à estrutura, o artigo foi organizado em cinco seções. Nesta primeira há uma generalização dos conhecimentos que englobam o problema de pesquisa, bem como sua definição e, não menos importante, cita-se os objetivos do artigo. Na segunda parte, será revelada a fundamentação teórica que sedimentou as bases para o estudo. A seção subsequente dissertará acerca da metodologia aplicada no trabalho para atingir os objetivos estabelecidos. Na penúltima, será realizada uma análise dos resultados obtidos, seguida da proposta de solução para o problema de pesquisa. Na última parte, serão apresentadas considerações finais, limitações e sugestões para pesquisas futuras. </w:t>
      </w:r>
    </w:p>
    <w:p w14:paraId="25218F12" w14:textId="77777777" w:rsidR="00FD5030" w:rsidRDefault="00FD5030" w:rsidP="00364D60">
      <w:pPr>
        <w:jc w:val="both"/>
      </w:pPr>
      <w:r>
        <w:t xml:space="preserve"> </w:t>
      </w:r>
    </w:p>
    <w:p w14:paraId="317F57AE" w14:textId="77777777" w:rsidR="004D4732" w:rsidRDefault="00FD5030" w:rsidP="00FD5030">
      <w:pPr>
        <w:pStyle w:val="Ttulo1"/>
        <w:spacing w:after="0" w:line="240" w:lineRule="auto"/>
        <w:ind w:left="-5"/>
        <w:rPr>
          <w:lang w:val="pt-BR"/>
        </w:rPr>
      </w:pPr>
      <w:r>
        <w:rPr>
          <w:lang w:val="pt-BR"/>
        </w:rPr>
        <w:t>2 REFERENCIAL TEÓRICO</w:t>
      </w:r>
    </w:p>
    <w:p w14:paraId="137A5C8A" w14:textId="5EE926B8" w:rsidR="00FD5030" w:rsidRDefault="00FD5030" w:rsidP="00FD5030">
      <w:pPr>
        <w:pStyle w:val="Ttulo1"/>
        <w:spacing w:after="0" w:line="240" w:lineRule="auto"/>
        <w:ind w:left="-5"/>
        <w:rPr>
          <w:lang w:val="pt-BR"/>
        </w:rPr>
      </w:pPr>
      <w:r>
        <w:rPr>
          <w:lang w:val="pt-BR"/>
        </w:rPr>
        <w:t xml:space="preserve"> </w:t>
      </w:r>
    </w:p>
    <w:p w14:paraId="090FE6F7" w14:textId="77777777" w:rsidR="004D4732" w:rsidRDefault="00FD5030" w:rsidP="00FD5030">
      <w:pPr>
        <w:pStyle w:val="Ttulo2"/>
        <w:ind w:left="-5"/>
        <w:rPr>
          <w:rFonts w:ascii="Times New Roman" w:hAnsi="Times New Roman" w:cs="Times New Roman"/>
          <w:bCs/>
          <w:color w:val="auto"/>
          <w:sz w:val="24"/>
          <w:szCs w:val="24"/>
        </w:rPr>
      </w:pPr>
      <w:r w:rsidRPr="007E47E2">
        <w:rPr>
          <w:rFonts w:ascii="Times New Roman" w:hAnsi="Times New Roman" w:cs="Times New Roman"/>
          <w:bCs/>
          <w:color w:val="auto"/>
          <w:sz w:val="24"/>
          <w:szCs w:val="24"/>
        </w:rPr>
        <w:t>2.1 AUDITORIA INTERNA GOVERNAMENTAL NA MB</w:t>
      </w:r>
    </w:p>
    <w:p w14:paraId="7FFDC63E" w14:textId="7D538B32" w:rsidR="00FD5030" w:rsidRPr="007E47E2" w:rsidRDefault="00FD5030" w:rsidP="00FD5030">
      <w:pPr>
        <w:pStyle w:val="Ttulo2"/>
        <w:ind w:left="-5"/>
        <w:rPr>
          <w:rFonts w:ascii="Times New Roman" w:hAnsi="Times New Roman" w:cs="Times New Roman"/>
          <w:b/>
          <w:bCs/>
          <w:color w:val="auto"/>
          <w:sz w:val="24"/>
          <w:szCs w:val="24"/>
        </w:rPr>
      </w:pPr>
      <w:r w:rsidRPr="007E47E2">
        <w:rPr>
          <w:rFonts w:ascii="Times New Roman" w:hAnsi="Times New Roman" w:cs="Times New Roman"/>
          <w:bCs/>
          <w:color w:val="auto"/>
          <w:sz w:val="24"/>
          <w:szCs w:val="24"/>
        </w:rPr>
        <w:t xml:space="preserve"> </w:t>
      </w:r>
    </w:p>
    <w:p w14:paraId="45AB2AA4" w14:textId="4B173AF2" w:rsidR="00FD5030" w:rsidRDefault="00FD5030" w:rsidP="00FD5030">
      <w:pPr>
        <w:ind w:firstLine="686"/>
        <w:jc w:val="both"/>
      </w:pPr>
      <w:r>
        <w:t xml:space="preserve">O </w:t>
      </w:r>
      <w:r>
        <w:rPr>
          <w:rFonts w:ascii="Times New Roman,Italic" w:hAnsi="Times New Roman,Italic"/>
          <w:i/>
          <w:iCs/>
        </w:rPr>
        <w:t xml:space="preserve">The </w:t>
      </w:r>
      <w:proofErr w:type="spellStart"/>
      <w:r>
        <w:rPr>
          <w:rFonts w:ascii="Times New Roman,Italic" w:hAnsi="Times New Roman,Italic"/>
          <w:i/>
          <w:iCs/>
        </w:rPr>
        <w:t>Institute</w:t>
      </w:r>
      <w:proofErr w:type="spellEnd"/>
      <w:r>
        <w:rPr>
          <w:rFonts w:ascii="Times New Roman,Italic" w:hAnsi="Times New Roman,Italic"/>
          <w:i/>
          <w:iCs/>
        </w:rPr>
        <w:t xml:space="preserve"> </w:t>
      </w:r>
      <w:proofErr w:type="spellStart"/>
      <w:r>
        <w:rPr>
          <w:rFonts w:ascii="Times New Roman,Italic" w:hAnsi="Times New Roman,Italic"/>
          <w:i/>
          <w:iCs/>
        </w:rPr>
        <w:t>of</w:t>
      </w:r>
      <w:proofErr w:type="spellEnd"/>
      <w:r>
        <w:rPr>
          <w:rFonts w:ascii="Times New Roman,Italic" w:hAnsi="Times New Roman,Italic"/>
          <w:i/>
          <w:iCs/>
        </w:rPr>
        <w:t xml:space="preserve"> </w:t>
      </w:r>
      <w:proofErr w:type="spellStart"/>
      <w:r>
        <w:rPr>
          <w:rFonts w:ascii="Times New Roman,Italic" w:hAnsi="Times New Roman,Italic"/>
          <w:i/>
          <w:iCs/>
        </w:rPr>
        <w:t>Internal</w:t>
      </w:r>
      <w:proofErr w:type="spellEnd"/>
      <w:r>
        <w:rPr>
          <w:rFonts w:ascii="Times New Roman,Italic" w:hAnsi="Times New Roman,Italic"/>
          <w:i/>
          <w:iCs/>
        </w:rPr>
        <w:t xml:space="preserve"> </w:t>
      </w:r>
      <w:proofErr w:type="spellStart"/>
      <w:r>
        <w:rPr>
          <w:rFonts w:ascii="Times New Roman,Italic" w:hAnsi="Times New Roman,Italic"/>
          <w:i/>
          <w:iCs/>
        </w:rPr>
        <w:t>Auditors</w:t>
      </w:r>
      <w:proofErr w:type="spellEnd"/>
      <w:r>
        <w:rPr>
          <w:rFonts w:ascii="Times New Roman,Italic" w:hAnsi="Times New Roman,Italic"/>
        </w:rPr>
        <w:t xml:space="preserve"> </w:t>
      </w:r>
      <w:r>
        <w:t xml:space="preserve">- </w:t>
      </w:r>
      <w:r>
        <w:rPr>
          <w:rFonts w:ascii="Times New Roman,Italic" w:hAnsi="Times New Roman,Italic"/>
          <w:i/>
          <w:iCs/>
        </w:rPr>
        <w:t xml:space="preserve">The </w:t>
      </w:r>
      <w:r>
        <w:rPr>
          <w:i/>
          <w:iCs/>
        </w:rPr>
        <w:t>IIA</w:t>
      </w:r>
      <w:r>
        <w:t xml:space="preserve"> (2019) preconiza que a auditoria interna é uma atividade independente e objetiva de consultoria e avaliação que gera valor e aperfeiçoa as operações de uma organização. Ela auxilia na concretização dos objetivos organizacionais, avaliando e melhorando a eficácia dos procedimentos de gerenciamento de riscos, controle e governança. </w:t>
      </w:r>
    </w:p>
    <w:p w14:paraId="528FA1A1" w14:textId="48DF1884" w:rsidR="00FD5030" w:rsidRDefault="00FD5030" w:rsidP="00FD5030">
      <w:pPr>
        <w:ind w:firstLine="686"/>
        <w:jc w:val="both"/>
      </w:pPr>
      <w:r>
        <w:t>No Brasil, o Sistema de Controle Interno do Poder Executivo Federal (SCI), com fulcro no artigo 74 da Carta Magna de 1988, possui a atribuição de desempenhar a atividade de auditoria interna, que tem como um dos objetivos avaliar como os gastos públicos estão sendo d</w:t>
      </w:r>
      <w:r w:rsidR="00042C50">
        <w:t>e</w:t>
      </w:r>
      <w:r>
        <w:t>spendidos (BRASIL, 1988). As UAIG (Unidades de Auditoria Interna Governamental), componentes do SCI consoante ao estabelecido na Instrução Normativa (IN) nº 03/17 da Controladoria-Geral da União (CGU) devem avaliar as exposições da unidade auditada a riscos relacionados à governança, às atividades operacionais e aos sistemas de informação, verificando se há comprometimento, dentre outros, da conformidade dos processos e estruturas com leis, normas e regulamentos internos e externos (BRASIL, 2017a).</w:t>
      </w:r>
    </w:p>
    <w:p w14:paraId="6B388556" w14:textId="77777777" w:rsidR="00FD5030" w:rsidRDefault="00FD5030" w:rsidP="00FD5030">
      <w:pPr>
        <w:ind w:left="-15" w:firstLine="653"/>
        <w:jc w:val="both"/>
      </w:pPr>
      <w:r>
        <w:t>Na Marinha do Brasil (MB), é atribuição do CCIMAR exercer atividades de Auditoria Interna Governamental, a fim de aprimorar o Controle Interno, manter e agregar valor à gestão da MB (BRASIL, 2021). Dentre as atividades desempenhadas pelo CCIMAR, destaca-se a Auditoria de Acompanhamento da Gestão, destinada a examinar a legalidade e a legitimidade dos atos de Gestão praticados pelos responsáveis pela administração de valores e bens da MB ou a ela confiados (BRASIL, 2021).</w:t>
      </w:r>
    </w:p>
    <w:p w14:paraId="2E2F5393" w14:textId="77777777" w:rsidR="00FD5030" w:rsidRDefault="00FD5030" w:rsidP="00FD5030">
      <w:pPr>
        <w:ind w:left="-15" w:firstLine="653"/>
        <w:jc w:val="both"/>
      </w:pPr>
      <w:r>
        <w:t xml:space="preserve">Tal tipo de auditoria </w:t>
      </w:r>
      <w:r w:rsidRPr="0060736F">
        <w:t>pode ser utilizada para as atividades do Plano Anual de Auditoria Interna (PAINT)</w:t>
      </w:r>
      <w:r>
        <w:t>, documento que contempla a temática e macroprocessos a serem executados pelo CCIMAR.</w:t>
      </w:r>
    </w:p>
    <w:p w14:paraId="68A5F535" w14:textId="77777777" w:rsidR="00FD5030" w:rsidRDefault="00FD5030" w:rsidP="00FD5030">
      <w:pPr>
        <w:pStyle w:val="NormalWeb"/>
        <w:spacing w:beforeAutospacing="0" w:afterAutospacing="0"/>
        <w:ind w:firstLine="638"/>
        <w:jc w:val="both"/>
      </w:pPr>
      <w:r>
        <w:lastRenderedPageBreak/>
        <w:t xml:space="preserve">A IN nº 03/2017 da CGU (BRASIL, 2017a) preconiza o dever de elaboração do planejamento da auditoria utilizando seleção de testes para obtenção de evidências adequadas e suficientes. A mesma norma atribui aos auditores a competência de coletar e analisar dados. </w:t>
      </w:r>
    </w:p>
    <w:p w14:paraId="41BCE50B" w14:textId="77777777" w:rsidR="00FD5030" w:rsidRDefault="00FD5030" w:rsidP="00FD5030">
      <w:pPr>
        <w:pStyle w:val="NormalWeb"/>
        <w:spacing w:beforeAutospacing="0" w:afterAutospacing="0"/>
        <w:ind w:firstLine="638"/>
        <w:jc w:val="both"/>
      </w:pPr>
    </w:p>
    <w:p w14:paraId="5455345F" w14:textId="77777777" w:rsidR="004D4732" w:rsidRDefault="00FD5030" w:rsidP="00FD5030">
      <w:pPr>
        <w:pStyle w:val="Ttulo3"/>
        <w:rPr>
          <w:rFonts w:ascii="Times New Roman" w:hAnsi="Times New Roman" w:cs="Times New Roman"/>
          <w:bCs/>
          <w:color w:val="auto"/>
        </w:rPr>
      </w:pPr>
      <w:r w:rsidRPr="00FD5030">
        <w:rPr>
          <w:rFonts w:ascii="Times New Roman" w:hAnsi="Times New Roman" w:cs="Times New Roman"/>
          <w:bCs/>
          <w:color w:val="auto"/>
        </w:rPr>
        <w:t>2.2 RISCOS DE AUDITORIA</w:t>
      </w:r>
    </w:p>
    <w:p w14:paraId="06ABBB54" w14:textId="421C577D" w:rsidR="00FD5030" w:rsidRPr="00FD5030" w:rsidRDefault="00FD5030" w:rsidP="00FD5030">
      <w:pPr>
        <w:pStyle w:val="Ttulo3"/>
        <w:rPr>
          <w:rFonts w:ascii="Times New Roman" w:hAnsi="Times New Roman" w:cs="Times New Roman"/>
          <w:b/>
          <w:bCs/>
          <w:color w:val="auto"/>
        </w:rPr>
      </w:pPr>
      <w:r w:rsidRPr="00FD5030">
        <w:rPr>
          <w:rFonts w:ascii="Times New Roman" w:hAnsi="Times New Roman" w:cs="Times New Roman"/>
          <w:bCs/>
          <w:color w:val="auto"/>
        </w:rPr>
        <w:t xml:space="preserve"> </w:t>
      </w:r>
    </w:p>
    <w:p w14:paraId="053E4150" w14:textId="0D0FF006" w:rsidR="00FD5030" w:rsidRDefault="00FD5030" w:rsidP="00FD5030">
      <w:pPr>
        <w:pStyle w:val="NormalWeb"/>
        <w:spacing w:beforeAutospacing="0" w:afterAutospacing="0"/>
        <w:ind w:firstLine="686"/>
        <w:jc w:val="both"/>
      </w:pPr>
      <w:r>
        <w:t xml:space="preserve">Risco de auditoria consiste no </w:t>
      </w:r>
      <w:r>
        <w:rPr>
          <w:rFonts w:ascii="TimesNewRomanPSMT" w:hAnsi="TimesNewRomanPSMT"/>
        </w:rPr>
        <w:t>risco de o auditor chegar a conclusões inválidas e</w:t>
      </w:r>
      <w:r w:rsidRPr="00456DEB">
        <w:rPr>
          <w:rFonts w:ascii="TimesNewRomanPSMT" w:hAnsi="TimesNewRomanPSMT"/>
        </w:rPr>
        <w:t>/</w:t>
      </w:r>
      <w:r>
        <w:rPr>
          <w:rFonts w:ascii="TimesNewRomanPSMT" w:hAnsi="TimesNewRomanPSMT"/>
        </w:rPr>
        <w:t xml:space="preserve">ou fornecer opiniões equivocadas com base no trabalho de auditoria realizado </w:t>
      </w:r>
      <w:r>
        <w:t xml:space="preserve">(BRASIL, 2017b). Associados a tal risco, tem-se os riscos: de controle, inerente e de detecção, consoante à </w:t>
      </w:r>
      <w:r w:rsidR="00A63C02">
        <w:t>f</w:t>
      </w:r>
      <w:r>
        <w:t>igura a</w:t>
      </w:r>
      <w:r w:rsidR="0030348A">
        <w:t>diante</w:t>
      </w:r>
      <w:r>
        <w:t xml:space="preserve">: </w:t>
      </w:r>
      <w:r>
        <w:tab/>
      </w:r>
    </w:p>
    <w:p w14:paraId="4B4A7ADD" w14:textId="77777777" w:rsidR="00FD5030" w:rsidRDefault="00FD5030" w:rsidP="00FD5030">
      <w:pPr>
        <w:spacing w:line="259" w:lineRule="auto"/>
        <w:jc w:val="both"/>
      </w:pPr>
    </w:p>
    <w:p w14:paraId="38E29C37" w14:textId="77777777" w:rsidR="00FD5030" w:rsidRDefault="00FD5030" w:rsidP="00F670AF">
      <w:pPr>
        <w:spacing w:line="259" w:lineRule="auto"/>
        <w:ind w:left="57" w:right="6"/>
        <w:rPr>
          <w:b/>
          <w:sz w:val="16"/>
          <w:szCs w:val="20"/>
        </w:rPr>
      </w:pPr>
      <w:r>
        <w:rPr>
          <w:b/>
          <w:sz w:val="20"/>
        </w:rPr>
        <w:t>Figura 1 –Riscos em Auditoria</w:t>
      </w:r>
      <w:r>
        <w:rPr>
          <w:b/>
          <w:sz w:val="16"/>
          <w:szCs w:val="20"/>
        </w:rPr>
        <w:t xml:space="preserve"> </w:t>
      </w:r>
    </w:p>
    <w:p w14:paraId="688FC517" w14:textId="77777777" w:rsidR="00FD5030" w:rsidRDefault="00FD5030" w:rsidP="00FD5030">
      <w:pPr>
        <w:spacing w:line="259" w:lineRule="auto"/>
        <w:ind w:right="-3"/>
        <w:jc w:val="center"/>
      </w:pPr>
      <w:r>
        <w:rPr>
          <w:noProof/>
        </w:rPr>
        <w:drawing>
          <wp:inline distT="0" distB="0" distL="0" distR="0" wp14:anchorId="53518F4F" wp14:editId="4ABCE397">
            <wp:extent cx="5795645" cy="2019300"/>
            <wp:effectExtent l="0" t="0" r="0" b="0"/>
            <wp:docPr id="1" name="Picture 819" descr="Interface gráfica do usuári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19" descr="Interface gráfica do usuário, Diagrama&#10;&#10;Descrição gerada automaticamente"/>
                    <pic:cNvPicPr>
                      <a:picLocks noChangeAspect="1" noChangeArrowheads="1"/>
                    </pic:cNvPicPr>
                  </pic:nvPicPr>
                  <pic:blipFill>
                    <a:blip r:embed="rId8"/>
                    <a:stretch>
                      <a:fillRect/>
                    </a:stretch>
                  </pic:blipFill>
                  <pic:spPr bwMode="auto">
                    <a:xfrm>
                      <a:off x="0" y="0"/>
                      <a:ext cx="5795645" cy="2019300"/>
                    </a:xfrm>
                    <a:prstGeom prst="rect">
                      <a:avLst/>
                    </a:prstGeom>
                  </pic:spPr>
                </pic:pic>
              </a:graphicData>
            </a:graphic>
          </wp:inline>
        </w:drawing>
      </w:r>
    </w:p>
    <w:p w14:paraId="6E88FEC3" w14:textId="0982A483" w:rsidR="00FD5030" w:rsidRDefault="00FD5030" w:rsidP="00124B4F">
      <w:pPr>
        <w:spacing w:after="33" w:line="259" w:lineRule="auto"/>
        <w:ind w:left="142" w:right="-6"/>
        <w:rPr>
          <w:sz w:val="36"/>
          <w:szCs w:val="36"/>
        </w:rPr>
      </w:pPr>
      <w:r>
        <w:rPr>
          <w:sz w:val="18"/>
        </w:rPr>
        <w:t>Fonte: Adaptado de Manual de Orientações Técnicas da Atividade de Auditoria Interna Governamental da Controladoria Geral da União (2017).</w:t>
      </w:r>
    </w:p>
    <w:p w14:paraId="18A25EE7" w14:textId="77777777" w:rsidR="00FD5030" w:rsidRDefault="00FD5030" w:rsidP="00FD5030"/>
    <w:p w14:paraId="281F724D" w14:textId="77777777" w:rsidR="00FD5030" w:rsidRDefault="00FD5030" w:rsidP="00FD5030">
      <w:r>
        <w:tab/>
        <w:t>O quadro abaixo categoriza os tipos de riscos existentes na atividade de auditoria:</w:t>
      </w:r>
    </w:p>
    <w:p w14:paraId="5970B828" w14:textId="77777777" w:rsidR="00FD5030" w:rsidRPr="00FD5030" w:rsidRDefault="00FD5030" w:rsidP="00FD5030">
      <w:pPr>
        <w:ind w:right="6"/>
        <w:rPr>
          <w:b/>
          <w:szCs w:val="32"/>
        </w:rPr>
      </w:pPr>
    </w:p>
    <w:p w14:paraId="5455BB9C" w14:textId="77777777" w:rsidR="00FD5030" w:rsidRDefault="00FD5030" w:rsidP="00FD5030">
      <w:pPr>
        <w:spacing w:line="259" w:lineRule="auto"/>
        <w:ind w:left="10" w:right="6" w:hanging="10"/>
        <w:jc w:val="both"/>
        <w:rPr>
          <w:sz w:val="20"/>
          <w:szCs w:val="20"/>
        </w:rPr>
      </w:pPr>
      <w:r>
        <w:rPr>
          <w:b/>
          <w:sz w:val="20"/>
        </w:rPr>
        <w:t>Quadro 1 – Definições de riscos</w:t>
      </w:r>
    </w:p>
    <w:tbl>
      <w:tblPr>
        <w:tblStyle w:val="TableGrid"/>
        <w:tblW w:w="8999" w:type="dxa"/>
        <w:tblInd w:w="77" w:type="dxa"/>
        <w:tblLayout w:type="fixed"/>
        <w:tblCellMar>
          <w:top w:w="42" w:type="dxa"/>
          <w:left w:w="5" w:type="dxa"/>
          <w:right w:w="17" w:type="dxa"/>
        </w:tblCellMar>
        <w:tblLook w:val="04A0" w:firstRow="1" w:lastRow="0" w:firstColumn="1" w:lastColumn="0" w:noHBand="0" w:noVBand="1"/>
      </w:tblPr>
      <w:tblGrid>
        <w:gridCol w:w="2044"/>
        <w:gridCol w:w="6955"/>
      </w:tblGrid>
      <w:tr w:rsidR="00FD5030" w14:paraId="2EA7E3F2" w14:textId="77777777" w:rsidTr="007414D5">
        <w:trPr>
          <w:trHeight w:val="970"/>
        </w:trPr>
        <w:tc>
          <w:tcPr>
            <w:tcW w:w="20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80B2AC8" w14:textId="77777777" w:rsidR="00FD5030" w:rsidRDefault="00FD5030" w:rsidP="007414D5">
            <w:pPr>
              <w:widowControl w:val="0"/>
              <w:ind w:left="72"/>
              <w:rPr>
                <w:b/>
                <w:bCs/>
                <w:szCs w:val="32"/>
              </w:rPr>
            </w:pPr>
            <w:proofErr w:type="spellStart"/>
            <w:r>
              <w:rPr>
                <w:b/>
                <w:bCs/>
                <w:szCs w:val="32"/>
              </w:rPr>
              <w:t>Risco</w:t>
            </w:r>
            <w:proofErr w:type="spellEnd"/>
            <w:r>
              <w:rPr>
                <w:b/>
                <w:bCs/>
                <w:szCs w:val="32"/>
              </w:rPr>
              <w:t xml:space="preserve"> de </w:t>
            </w:r>
            <w:proofErr w:type="spellStart"/>
            <w:r>
              <w:rPr>
                <w:b/>
                <w:bCs/>
                <w:szCs w:val="32"/>
              </w:rPr>
              <w:t>controle</w:t>
            </w:r>
            <w:proofErr w:type="spellEnd"/>
          </w:p>
        </w:tc>
        <w:tc>
          <w:tcPr>
            <w:tcW w:w="6954" w:type="dxa"/>
            <w:tcBorders>
              <w:top w:val="single" w:sz="4" w:space="0" w:color="000000"/>
              <w:left w:val="single" w:sz="4" w:space="0" w:color="000000"/>
              <w:bottom w:val="single" w:sz="4" w:space="0" w:color="000000"/>
              <w:right w:val="single" w:sz="4" w:space="0" w:color="000000"/>
            </w:tcBorders>
          </w:tcPr>
          <w:p w14:paraId="5F753610" w14:textId="77777777" w:rsidR="00FD5030" w:rsidRPr="00EB5B76" w:rsidRDefault="00FD5030" w:rsidP="007414D5">
            <w:pPr>
              <w:widowControl w:val="0"/>
              <w:ind w:left="142" w:right="47"/>
              <w:jc w:val="both"/>
              <w:rPr>
                <w:lang w:val="pt-BR"/>
              </w:rPr>
            </w:pPr>
            <w:r w:rsidRPr="00EB5B76">
              <w:rPr>
                <w:lang w:val="pt-BR"/>
              </w:rPr>
              <w:t>é o risco de que um erro ou classificação indevida de materiais que possam constar de uma afirmação não sejam evitados ou detectados, tempestivamente, pelos controles internos da entidade.</w:t>
            </w:r>
          </w:p>
        </w:tc>
      </w:tr>
      <w:tr w:rsidR="00FD5030" w14:paraId="7E4E58F7" w14:textId="77777777" w:rsidTr="007414D5">
        <w:trPr>
          <w:trHeight w:val="657"/>
        </w:trPr>
        <w:tc>
          <w:tcPr>
            <w:tcW w:w="20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9E09679" w14:textId="77777777" w:rsidR="00FD5030" w:rsidRDefault="00FD5030" w:rsidP="007414D5">
            <w:pPr>
              <w:widowControl w:val="0"/>
              <w:ind w:left="72"/>
              <w:rPr>
                <w:b/>
                <w:bCs/>
                <w:szCs w:val="32"/>
              </w:rPr>
            </w:pPr>
            <w:proofErr w:type="spellStart"/>
            <w:r>
              <w:rPr>
                <w:b/>
                <w:bCs/>
                <w:szCs w:val="32"/>
              </w:rPr>
              <w:t>Risco</w:t>
            </w:r>
            <w:proofErr w:type="spellEnd"/>
            <w:r>
              <w:rPr>
                <w:b/>
                <w:bCs/>
                <w:szCs w:val="32"/>
              </w:rPr>
              <w:t xml:space="preserve"> </w:t>
            </w:r>
            <w:proofErr w:type="spellStart"/>
            <w:r>
              <w:rPr>
                <w:b/>
                <w:bCs/>
                <w:szCs w:val="32"/>
              </w:rPr>
              <w:t>inerente</w:t>
            </w:r>
            <w:proofErr w:type="spellEnd"/>
          </w:p>
        </w:tc>
        <w:tc>
          <w:tcPr>
            <w:tcW w:w="6954" w:type="dxa"/>
            <w:tcBorders>
              <w:top w:val="single" w:sz="4" w:space="0" w:color="000000"/>
              <w:left w:val="single" w:sz="4" w:space="0" w:color="000000"/>
              <w:bottom w:val="single" w:sz="4" w:space="0" w:color="000000"/>
              <w:right w:val="single" w:sz="4" w:space="0" w:color="000000"/>
            </w:tcBorders>
          </w:tcPr>
          <w:p w14:paraId="37F99ED0" w14:textId="77777777" w:rsidR="00FD5030" w:rsidRPr="00EB5B76" w:rsidRDefault="00FD5030" w:rsidP="007414D5">
            <w:pPr>
              <w:widowControl w:val="0"/>
              <w:ind w:left="142" w:right="47"/>
              <w:jc w:val="both"/>
              <w:rPr>
                <w:lang w:val="pt-BR"/>
              </w:rPr>
            </w:pPr>
            <w:r w:rsidRPr="00EB5B76">
              <w:rPr>
                <w:lang w:val="pt-BR"/>
              </w:rPr>
              <w:t>é a suscetibilidade de uma afirmação a um erro ou classificação indevida material, supondo que não haja controles.</w:t>
            </w:r>
          </w:p>
        </w:tc>
      </w:tr>
      <w:tr w:rsidR="00FD5030" w14:paraId="402DBABB" w14:textId="77777777" w:rsidTr="007414D5">
        <w:trPr>
          <w:trHeight w:val="653"/>
        </w:trPr>
        <w:tc>
          <w:tcPr>
            <w:tcW w:w="20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EB7FFE8" w14:textId="77777777" w:rsidR="00FD5030" w:rsidRDefault="00FD5030" w:rsidP="007414D5">
            <w:pPr>
              <w:widowControl w:val="0"/>
              <w:ind w:left="72"/>
              <w:rPr>
                <w:b/>
                <w:bCs/>
                <w:szCs w:val="32"/>
              </w:rPr>
            </w:pPr>
            <w:proofErr w:type="spellStart"/>
            <w:r>
              <w:rPr>
                <w:b/>
                <w:bCs/>
                <w:szCs w:val="32"/>
              </w:rPr>
              <w:t>Risco</w:t>
            </w:r>
            <w:proofErr w:type="spellEnd"/>
            <w:r>
              <w:rPr>
                <w:b/>
                <w:bCs/>
                <w:szCs w:val="32"/>
              </w:rPr>
              <w:t xml:space="preserve"> de </w:t>
            </w:r>
            <w:proofErr w:type="spellStart"/>
            <w:r>
              <w:rPr>
                <w:b/>
                <w:bCs/>
                <w:szCs w:val="32"/>
              </w:rPr>
              <w:t>detecção</w:t>
            </w:r>
            <w:proofErr w:type="spellEnd"/>
          </w:p>
        </w:tc>
        <w:tc>
          <w:tcPr>
            <w:tcW w:w="6954" w:type="dxa"/>
            <w:tcBorders>
              <w:top w:val="single" w:sz="4" w:space="0" w:color="000000"/>
              <w:left w:val="single" w:sz="4" w:space="0" w:color="000000"/>
              <w:bottom w:val="single" w:sz="4" w:space="0" w:color="000000"/>
              <w:right w:val="single" w:sz="4" w:space="0" w:color="000000"/>
            </w:tcBorders>
          </w:tcPr>
          <w:p w14:paraId="13E12AA5" w14:textId="77777777" w:rsidR="00FD5030" w:rsidRPr="00EB5B76" w:rsidRDefault="00FD5030" w:rsidP="007414D5">
            <w:pPr>
              <w:widowControl w:val="0"/>
              <w:ind w:left="142"/>
              <w:jc w:val="both"/>
              <w:rPr>
                <w:lang w:val="pt-BR"/>
              </w:rPr>
            </w:pPr>
            <w:r w:rsidRPr="00EB5B76">
              <w:rPr>
                <w:lang w:val="pt-BR"/>
              </w:rPr>
              <w:t>é o risco de que o auditor não detecte um erro ou classificação indevida relevante que existe em uma afirmação.</w:t>
            </w:r>
          </w:p>
        </w:tc>
      </w:tr>
    </w:tbl>
    <w:p w14:paraId="35617A04" w14:textId="747DC240" w:rsidR="00FD5030" w:rsidRDefault="00E828DE" w:rsidP="00FD5030">
      <w:pPr>
        <w:spacing w:after="92" w:line="259" w:lineRule="auto"/>
        <w:ind w:left="-5" w:hanging="10"/>
        <w:rPr>
          <w:sz w:val="18"/>
          <w:szCs w:val="18"/>
        </w:rPr>
      </w:pPr>
      <w:r>
        <w:rPr>
          <w:sz w:val="18"/>
          <w:szCs w:val="18"/>
        </w:rPr>
        <w:t xml:space="preserve">  </w:t>
      </w:r>
      <w:r w:rsidR="00FD5030">
        <w:rPr>
          <w:sz w:val="18"/>
          <w:szCs w:val="18"/>
        </w:rPr>
        <w:t>Fonte: Adaptado de Araújo, Arruda e Barreto (2008, p. 175).</w:t>
      </w:r>
    </w:p>
    <w:p w14:paraId="7792BC5F" w14:textId="77777777" w:rsidR="00FD5030" w:rsidRDefault="00FD5030" w:rsidP="00FD5030">
      <w:pPr>
        <w:pStyle w:val="NormalWeb"/>
        <w:spacing w:beforeAutospacing="0" w:afterAutospacing="0"/>
        <w:jc w:val="both"/>
      </w:pPr>
      <w:r>
        <w:t xml:space="preserve"> </w:t>
      </w:r>
      <w:r>
        <w:tab/>
      </w:r>
    </w:p>
    <w:p w14:paraId="4BF74845" w14:textId="77777777" w:rsidR="00FD5030" w:rsidRDefault="00FD5030" w:rsidP="00FD5030">
      <w:pPr>
        <w:pStyle w:val="NormalWeb"/>
        <w:spacing w:beforeAutospacing="0" w:afterAutospacing="0"/>
        <w:ind w:firstLine="720"/>
        <w:jc w:val="both"/>
      </w:pPr>
      <w:r>
        <w:t xml:space="preserve">O </w:t>
      </w:r>
      <w:r>
        <w:rPr>
          <w:lang w:eastAsia="en-US"/>
        </w:rPr>
        <w:t xml:space="preserve">Manual de Orientações Técnicas da Atividade de Auditoria Interna </w:t>
      </w:r>
      <w:r w:rsidRPr="00456DEB">
        <w:rPr>
          <w:lang w:eastAsia="en-US"/>
        </w:rPr>
        <w:t xml:space="preserve">Governamental </w:t>
      </w:r>
      <w:r>
        <w:rPr>
          <w:lang w:eastAsia="en-US"/>
        </w:rPr>
        <w:t>da CGU (2017) conceitua risco de detecção como o risco de que os procedimentos executados pelo auditor, para reduzir o risco de auditoria a um nível aceitavelmente baixo</w:t>
      </w:r>
      <w:r w:rsidRPr="004463B4">
        <w:rPr>
          <w:lang w:eastAsia="en-US"/>
        </w:rPr>
        <w:t>,</w:t>
      </w:r>
      <w:r>
        <w:rPr>
          <w:lang w:eastAsia="en-US"/>
        </w:rPr>
        <w:t xml:space="preserve"> não detectem uma distorção existente que possa ser relevante, individualmente ou em conjunto com outras distorções (BRASIL, 2017b).</w:t>
      </w:r>
      <w:r>
        <w:rPr>
          <w:rFonts w:ascii="TimesNewRomanPSMT" w:hAnsi="TimesNewRomanPSMT"/>
          <w:sz w:val="20"/>
          <w:szCs w:val="20"/>
        </w:rPr>
        <w:t xml:space="preserve"> </w:t>
      </w:r>
      <w:proofErr w:type="spellStart"/>
      <w:r>
        <w:rPr>
          <w:lang w:eastAsia="en-US"/>
        </w:rPr>
        <w:t>Attie</w:t>
      </w:r>
      <w:proofErr w:type="spellEnd"/>
      <w:r>
        <w:rPr>
          <w:lang w:eastAsia="en-US"/>
        </w:rPr>
        <w:t xml:space="preserve"> (2018) explicita ainda que quanto maiores são os riscos de distorção relevante que o auditor acredita que existam, menor é o risco de detecção aceitável e, portanto, mais persuasivas </w:t>
      </w:r>
      <w:r w:rsidRPr="004463B4">
        <w:rPr>
          <w:lang w:eastAsia="en-US"/>
        </w:rPr>
        <w:t>devem ser</w:t>
      </w:r>
      <w:r>
        <w:rPr>
          <w:color w:val="2A6099"/>
          <w:lang w:eastAsia="en-US"/>
        </w:rPr>
        <w:t xml:space="preserve"> </w:t>
      </w:r>
      <w:r>
        <w:rPr>
          <w:lang w:eastAsia="en-US"/>
        </w:rPr>
        <w:t xml:space="preserve">as evidências de auditoria exigidas. </w:t>
      </w:r>
    </w:p>
    <w:p w14:paraId="689C4E57" w14:textId="77777777" w:rsidR="00FD5030" w:rsidRDefault="00FD5030" w:rsidP="00FD5030"/>
    <w:p w14:paraId="6D7EC21B" w14:textId="77777777" w:rsidR="006967BA" w:rsidRDefault="006967BA" w:rsidP="00FD5030">
      <w:pPr>
        <w:pStyle w:val="Ttulo3"/>
        <w:ind w:left="-5"/>
        <w:rPr>
          <w:rFonts w:ascii="Times New Roman" w:hAnsi="Times New Roman" w:cs="Times New Roman"/>
          <w:bCs/>
          <w:color w:val="auto"/>
        </w:rPr>
      </w:pPr>
    </w:p>
    <w:p w14:paraId="4F764030" w14:textId="07F21791" w:rsidR="00FD5030" w:rsidRDefault="00FD5030" w:rsidP="00FD5030">
      <w:pPr>
        <w:pStyle w:val="Ttulo3"/>
        <w:ind w:left="-5"/>
        <w:rPr>
          <w:rFonts w:ascii="Times New Roman" w:hAnsi="Times New Roman" w:cs="Times New Roman"/>
          <w:bCs/>
          <w:color w:val="auto"/>
        </w:rPr>
      </w:pPr>
      <w:r w:rsidRPr="00FD5030">
        <w:rPr>
          <w:rFonts w:ascii="Times New Roman" w:hAnsi="Times New Roman" w:cs="Times New Roman"/>
          <w:bCs/>
          <w:color w:val="auto"/>
        </w:rPr>
        <w:t xml:space="preserve">2.3 SELEÇÃO DE ITENS PARA AUDITORIA </w:t>
      </w:r>
    </w:p>
    <w:p w14:paraId="302C1E2C" w14:textId="77777777" w:rsidR="00A6540D" w:rsidRPr="00A6540D" w:rsidRDefault="00A6540D" w:rsidP="00A6540D"/>
    <w:p w14:paraId="06895073" w14:textId="77777777" w:rsidR="00FD5030" w:rsidRDefault="00FD5030" w:rsidP="00FD5030">
      <w:pPr>
        <w:ind w:left="-15" w:firstLine="735"/>
        <w:jc w:val="both"/>
      </w:pPr>
      <w:r>
        <w:t xml:space="preserve">O Conselho Federal de Contabilidade (CFC) preconiza </w:t>
      </w:r>
      <w:r w:rsidRPr="002E1E89">
        <w:t>que um d</w:t>
      </w:r>
      <w:r>
        <w:t>os meios à disposição do auditor para o cumprimento dos procedimentos de auditoria</w:t>
      </w:r>
      <w:r w:rsidRPr="002E1E89">
        <w:t xml:space="preserve"> contempla a </w:t>
      </w:r>
      <w:r>
        <w:t>seleção de itens específicos (CFC, 2016).</w:t>
      </w:r>
    </w:p>
    <w:p w14:paraId="5CE00B8A" w14:textId="2CFA99EB" w:rsidR="00FD5030" w:rsidRDefault="00FD5030" w:rsidP="00C70655">
      <w:pPr>
        <w:ind w:left="-15" w:firstLine="706"/>
        <w:jc w:val="both"/>
      </w:pPr>
      <w:r w:rsidRPr="00D27849">
        <w:t>A</w:t>
      </w:r>
      <w:r>
        <w:rPr>
          <w:color w:val="2A6099"/>
        </w:rPr>
        <w:t xml:space="preserve"> </w:t>
      </w:r>
      <w:r>
        <w:t>seleção de itens específicos de uma população</w:t>
      </w:r>
      <w:r w:rsidRPr="00D27849">
        <w:t xml:space="preserve"> </w:t>
      </w:r>
      <w:r>
        <w:t xml:space="preserve">pode se dar de acordo com: valores; faixa de valores com importância (materialidade); ou características críticas específicas (criticidade), que denotem, por exemplo, suspeita, atipicidade ou tendência a erro (CFC, 2016).  </w:t>
      </w:r>
    </w:p>
    <w:p w14:paraId="1A279D14" w14:textId="110F0EF6" w:rsidR="00FD5030" w:rsidRPr="00364D60" w:rsidRDefault="00364D60" w:rsidP="00364D60">
      <w:pPr>
        <w:ind w:left="-15" w:firstLine="706"/>
        <w:jc w:val="both"/>
        <w:rPr>
          <w:color w:val="000000"/>
        </w:rPr>
      </w:pPr>
      <w:r w:rsidRPr="00364D60">
        <w:rPr>
          <w:color w:val="000000"/>
        </w:rPr>
        <w:t xml:space="preserve">Neste sentido, </w:t>
      </w:r>
      <w:proofErr w:type="spellStart"/>
      <w:r w:rsidRPr="00364D60">
        <w:rPr>
          <w:color w:val="000000"/>
        </w:rPr>
        <w:t>Cereali</w:t>
      </w:r>
      <w:proofErr w:type="spellEnd"/>
      <w:r w:rsidRPr="00364D60">
        <w:rPr>
          <w:color w:val="000000"/>
        </w:rPr>
        <w:t xml:space="preserve"> (2011) afirma que a utilização de métodos matemáticos e quantitativos na obtenção de itens de auditoria,</w:t>
      </w:r>
      <w:r w:rsidRPr="00364D60">
        <w:rPr>
          <w:color w:val="FF0000"/>
        </w:rPr>
        <w:t xml:space="preserve"> </w:t>
      </w:r>
      <w:r w:rsidRPr="00364D60">
        <w:rPr>
          <w:color w:val="000000"/>
        </w:rPr>
        <w:t>de maneira sistematizada e direcionada, confere consistência e cientificidade, sendo tarefa diretamente relacionada à mitigação dos riscos de auditoria, em específico, aos de detecção. O uso de ferramentas estatísticas aumenta a confiabilidade e a segurança dos trabalhos dos auditores, uma vez que permite identificar os pontos mais vulneráveis, tornando, assim, a auditoria mais seletiva (RIBEIRO; DIAS FILHO, 2007).</w:t>
      </w:r>
      <w:r w:rsidR="00FD5030">
        <w:tab/>
      </w:r>
    </w:p>
    <w:p w14:paraId="7CC1C9F9" w14:textId="77777777" w:rsidR="00FD5030" w:rsidRDefault="00FD5030" w:rsidP="00FD5030">
      <w:pPr>
        <w:jc w:val="both"/>
      </w:pPr>
    </w:p>
    <w:p w14:paraId="316E6120" w14:textId="32E97AFF" w:rsidR="00FD5030" w:rsidRDefault="00FD5030" w:rsidP="00FD5030">
      <w:pPr>
        <w:rPr>
          <w:rFonts w:ascii="TimesNewRomanPS" w:hAnsi="TimesNewRomanPS"/>
        </w:rPr>
      </w:pPr>
      <w:r>
        <w:rPr>
          <w:rFonts w:ascii="TimesNewRomanPS" w:hAnsi="TimesNewRomanPS"/>
        </w:rPr>
        <w:t xml:space="preserve">2.4 DESCOBERTA DE CONHECIMENTO EM BASES DE DADOS </w:t>
      </w:r>
    </w:p>
    <w:p w14:paraId="422065C6" w14:textId="77777777" w:rsidR="006967BA" w:rsidRDefault="006967BA" w:rsidP="00FD5030"/>
    <w:p w14:paraId="7290D247" w14:textId="77777777" w:rsidR="00FD5030" w:rsidRDefault="00FD5030" w:rsidP="00FD5030">
      <w:pPr>
        <w:ind w:firstLine="720"/>
        <w:jc w:val="both"/>
        <w:rPr>
          <w:rFonts w:ascii="TimesNewRomanPSMT" w:hAnsi="TimesNewRomanPSMT"/>
        </w:rPr>
      </w:pPr>
      <w:r>
        <w:rPr>
          <w:rFonts w:ascii="TimesNewRomanPSMT" w:hAnsi="TimesNewRomanPSMT"/>
        </w:rPr>
        <w:t xml:space="preserve">De Battista </w:t>
      </w:r>
      <w:r>
        <w:rPr>
          <w:rFonts w:ascii="TimesNewRomanPS" w:hAnsi="TimesNewRomanPS"/>
          <w:i/>
          <w:iCs/>
        </w:rPr>
        <w:t xml:space="preserve">et al. </w:t>
      </w:r>
      <w:r>
        <w:rPr>
          <w:rFonts w:ascii="TimesNewRomanPSMT" w:hAnsi="TimesNewRomanPSMT"/>
        </w:rPr>
        <w:t>(2016) frisam que é de notório interesse</w:t>
      </w:r>
      <w:r w:rsidRPr="002E1E89">
        <w:rPr>
          <w:rFonts w:ascii="TimesNewRomanPSMT" w:hAnsi="TimesNewRomanPSMT"/>
        </w:rPr>
        <w:t xml:space="preserve"> </w:t>
      </w:r>
      <w:r>
        <w:rPr>
          <w:rFonts w:ascii="TimesNewRomanPSMT" w:hAnsi="TimesNewRomanPSMT"/>
        </w:rPr>
        <w:t xml:space="preserve">poder extrair conhecimento de dados e convertê-los em informações úteis para a tomada de decisão, em especial para as organizações que possuem grande volume de dados. Neste tocante, é interessante lançar mão de um ramo da Ciência da Computação conhecido como Descoberta de Conhecimento em Bases de Dados (DCBD) ou </w:t>
      </w:r>
      <w:proofErr w:type="spellStart"/>
      <w:r>
        <w:rPr>
          <w:rFonts w:ascii="TimesNewRomanPS" w:hAnsi="TimesNewRomanPS"/>
          <w:i/>
          <w:iCs/>
        </w:rPr>
        <w:t>Knowledge</w:t>
      </w:r>
      <w:proofErr w:type="spellEnd"/>
      <w:r>
        <w:rPr>
          <w:rFonts w:ascii="TimesNewRomanPS" w:hAnsi="TimesNewRomanPS"/>
          <w:i/>
          <w:iCs/>
        </w:rPr>
        <w:t xml:space="preserve"> Discovery in </w:t>
      </w:r>
      <w:proofErr w:type="spellStart"/>
      <w:r>
        <w:rPr>
          <w:rFonts w:ascii="TimesNewRomanPS" w:hAnsi="TimesNewRomanPS"/>
          <w:i/>
          <w:iCs/>
        </w:rPr>
        <w:t>Databases</w:t>
      </w:r>
      <w:proofErr w:type="spellEnd"/>
      <w:r>
        <w:rPr>
          <w:rFonts w:ascii="TimesNewRomanPS" w:hAnsi="TimesNewRomanPS"/>
          <w:i/>
          <w:iCs/>
        </w:rPr>
        <w:t xml:space="preserve"> </w:t>
      </w:r>
      <w:r>
        <w:rPr>
          <w:rFonts w:ascii="TimesNewRomanPSMT" w:hAnsi="TimesNewRomanPSMT"/>
        </w:rPr>
        <w:t xml:space="preserve">(KDD). </w:t>
      </w:r>
    </w:p>
    <w:p w14:paraId="38DFDCD6" w14:textId="77777777" w:rsidR="00FD5030" w:rsidRDefault="00FD5030" w:rsidP="00FD5030">
      <w:pPr>
        <w:ind w:left="-15" w:firstLine="706"/>
        <w:jc w:val="both"/>
      </w:pPr>
      <w:r>
        <w:rPr>
          <w:rFonts w:ascii="TimesNewRomanPSMT" w:hAnsi="TimesNewRomanPSMT"/>
        </w:rPr>
        <w:t xml:space="preserve">Segundo </w:t>
      </w:r>
      <w:proofErr w:type="spellStart"/>
      <w:r>
        <w:rPr>
          <w:rFonts w:ascii="TimesNewRomanPSMT" w:hAnsi="TimesNewRomanPSMT"/>
        </w:rPr>
        <w:t>Fayyad</w:t>
      </w:r>
      <w:proofErr w:type="spellEnd"/>
      <w:r>
        <w:rPr>
          <w:rFonts w:ascii="TimesNewRomanPSMT" w:hAnsi="TimesNewRomanPSMT"/>
        </w:rPr>
        <w:t xml:space="preserve">, </w:t>
      </w:r>
      <w:proofErr w:type="spellStart"/>
      <w:r>
        <w:rPr>
          <w:rFonts w:ascii="TimesNewRomanPSMT" w:hAnsi="TimesNewRomanPSMT"/>
        </w:rPr>
        <w:t>Piatetsky</w:t>
      </w:r>
      <w:proofErr w:type="spellEnd"/>
      <w:r>
        <w:rPr>
          <w:rFonts w:ascii="TimesNewRomanPSMT" w:hAnsi="TimesNewRomanPSMT"/>
        </w:rPr>
        <w:t xml:space="preserve">-Shapiro e </w:t>
      </w:r>
      <w:proofErr w:type="spellStart"/>
      <w:r>
        <w:rPr>
          <w:rFonts w:ascii="TimesNewRomanPSMT" w:hAnsi="TimesNewRomanPSMT"/>
        </w:rPr>
        <w:t>Smyth</w:t>
      </w:r>
      <w:proofErr w:type="spellEnd"/>
      <w:r>
        <w:rPr>
          <w:rFonts w:ascii="TimesNewRomanPSMT" w:hAnsi="TimesNewRomanPSMT"/>
        </w:rPr>
        <w:t xml:space="preserve"> (1996), o KDD é um processo composto por várias etapas de extração de informações implícitas, previamente desconhecidas e potencialmente úteis, a partir dos dados armazenados em um banco de dados. KKD também pode ser definido </w:t>
      </w:r>
      <w:r>
        <w:t>como processo organizado de identificação de padrões válidos, novos, úteis e compreensíveis de conjuntos de dados grandes e complexos (PIATESKI; FRAWLEY, 1991).</w:t>
      </w:r>
    </w:p>
    <w:p w14:paraId="7F27DF12" w14:textId="07F6356D" w:rsidR="00FD5030" w:rsidRDefault="00FD5030" w:rsidP="00FD5030">
      <w:pPr>
        <w:ind w:firstLine="691"/>
        <w:jc w:val="both"/>
        <w:rPr>
          <w:rFonts w:ascii="TimesNewRomanPSMT" w:hAnsi="TimesNewRomanPSMT"/>
        </w:rPr>
      </w:pPr>
      <w:r>
        <w:t xml:space="preserve">Na </w:t>
      </w:r>
      <w:r w:rsidR="00A63C02">
        <w:t>f</w:t>
      </w:r>
      <w:r>
        <w:t xml:space="preserve">igura 2, podem ser observadas as etapas do KDD, descritas por </w:t>
      </w:r>
      <w:proofErr w:type="spellStart"/>
      <w:r>
        <w:t>Han</w:t>
      </w:r>
      <w:proofErr w:type="spellEnd"/>
      <w:r>
        <w:t xml:space="preserve">, </w:t>
      </w:r>
      <w:proofErr w:type="spellStart"/>
      <w:r>
        <w:t>Kamber</w:t>
      </w:r>
      <w:proofErr w:type="spellEnd"/>
      <w:r>
        <w:t xml:space="preserve"> e </w:t>
      </w:r>
      <w:proofErr w:type="spellStart"/>
      <w:r>
        <w:t>Pei</w:t>
      </w:r>
      <w:proofErr w:type="spellEnd"/>
      <w:r>
        <w:t xml:space="preserve"> (2012)</w:t>
      </w:r>
      <w:r>
        <w:rPr>
          <w:rFonts w:ascii="TimesNewRomanPSMT" w:hAnsi="TimesNewRomanPSMT"/>
        </w:rPr>
        <w:t xml:space="preserve"> como: </w:t>
      </w:r>
    </w:p>
    <w:p w14:paraId="436D5C1F" w14:textId="5A9B9E1C" w:rsidR="00B54457" w:rsidRPr="00B54457" w:rsidRDefault="00817301" w:rsidP="00B54457">
      <w:pPr>
        <w:pStyle w:val="PargrafodaLista"/>
        <w:numPr>
          <w:ilvl w:val="0"/>
          <w:numId w:val="1"/>
        </w:numPr>
        <w:ind w:left="1134" w:hanging="425"/>
        <w:jc w:val="both"/>
      </w:pPr>
      <w:proofErr w:type="spellStart"/>
      <w:r>
        <w:rPr>
          <w:rFonts w:ascii="TimesNewRomanPSMT" w:hAnsi="TimesNewRomanPSMT"/>
        </w:rPr>
        <w:t>s</w:t>
      </w:r>
      <w:r w:rsidR="00FD5030">
        <w:rPr>
          <w:rFonts w:ascii="TimesNewRomanPSMT" w:hAnsi="TimesNewRomanPSMT"/>
        </w:rPr>
        <w:t>eleção</w:t>
      </w:r>
      <w:proofErr w:type="spellEnd"/>
      <w:r w:rsidR="00FD5030">
        <w:rPr>
          <w:rFonts w:ascii="TimesNewRomanPSMT" w:hAnsi="TimesNewRomanPSMT"/>
        </w:rPr>
        <w:t xml:space="preserve">: escolha de um conjunto de dados ou uma amostra dos dados </w:t>
      </w:r>
      <w:r w:rsidR="00FD5030" w:rsidRPr="00C35DEC">
        <w:rPr>
          <w:rFonts w:ascii="TimesNewRomanPSMT" w:hAnsi="TimesNewRomanPSMT"/>
        </w:rPr>
        <w:t xml:space="preserve">em </w:t>
      </w:r>
      <w:r w:rsidR="00FD5030">
        <w:rPr>
          <w:rFonts w:ascii="TimesNewRomanPSMT" w:hAnsi="TimesNewRomanPSMT"/>
        </w:rPr>
        <w:t xml:space="preserve">que se pretende aplicar o processo de descoberta; </w:t>
      </w:r>
    </w:p>
    <w:p w14:paraId="71E39486" w14:textId="19466A71" w:rsidR="00B54457" w:rsidRPr="00B54457" w:rsidRDefault="00B6591A" w:rsidP="00B54457">
      <w:pPr>
        <w:pStyle w:val="PargrafodaLista"/>
        <w:numPr>
          <w:ilvl w:val="0"/>
          <w:numId w:val="1"/>
        </w:numPr>
        <w:ind w:left="1134" w:hanging="425"/>
        <w:jc w:val="both"/>
      </w:pPr>
      <w:proofErr w:type="spellStart"/>
      <w:r>
        <w:rPr>
          <w:rFonts w:ascii="TimesNewRomanPSMT" w:hAnsi="TimesNewRomanPSMT"/>
        </w:rPr>
        <w:t>p</w:t>
      </w:r>
      <w:r w:rsidR="00FD5030" w:rsidRPr="00B54457">
        <w:rPr>
          <w:rFonts w:ascii="TimesNewRomanPSMT" w:hAnsi="TimesNewRomanPSMT"/>
        </w:rPr>
        <w:t>re</w:t>
      </w:r>
      <w:proofErr w:type="spellEnd"/>
      <w:r w:rsidR="00FD5030" w:rsidRPr="00B54457">
        <w:rPr>
          <w:rFonts w:ascii="TimesNewRomanPSMT" w:hAnsi="TimesNewRomanPSMT"/>
        </w:rPr>
        <w:t xml:space="preserve">́-processamento: etapa em que serão tratados eventuais problemas como ruídos e dados incompletos; </w:t>
      </w:r>
    </w:p>
    <w:p w14:paraId="0A08D532" w14:textId="15FA9C1F" w:rsidR="00B54457" w:rsidRPr="00B54457" w:rsidRDefault="00817301" w:rsidP="00B54457">
      <w:pPr>
        <w:pStyle w:val="PargrafodaLista"/>
        <w:numPr>
          <w:ilvl w:val="0"/>
          <w:numId w:val="1"/>
        </w:numPr>
        <w:ind w:left="1134" w:hanging="425"/>
        <w:jc w:val="both"/>
      </w:pPr>
      <w:proofErr w:type="spellStart"/>
      <w:r>
        <w:rPr>
          <w:rFonts w:ascii="TimesNewRomanPSMT" w:hAnsi="TimesNewRomanPSMT"/>
        </w:rPr>
        <w:t>t</w:t>
      </w:r>
      <w:r w:rsidR="00FD5030" w:rsidRPr="00B54457">
        <w:rPr>
          <w:rFonts w:ascii="TimesNewRomanPSMT" w:hAnsi="TimesNewRomanPSMT"/>
        </w:rPr>
        <w:t>ransformação</w:t>
      </w:r>
      <w:proofErr w:type="spellEnd"/>
      <w:r w:rsidR="00FD5030" w:rsidRPr="00B54457">
        <w:rPr>
          <w:rFonts w:ascii="TimesNewRomanPSMT" w:hAnsi="TimesNewRomanPSMT"/>
        </w:rPr>
        <w:t xml:space="preserve">: os dados </w:t>
      </w:r>
      <w:proofErr w:type="spellStart"/>
      <w:r w:rsidR="00FD5030" w:rsidRPr="00B54457">
        <w:rPr>
          <w:rFonts w:ascii="TimesNewRomanPSMT" w:hAnsi="TimesNewRomanPSMT"/>
        </w:rPr>
        <w:t>são</w:t>
      </w:r>
      <w:proofErr w:type="spellEnd"/>
      <w:r w:rsidR="00FD5030" w:rsidRPr="00B54457">
        <w:rPr>
          <w:rFonts w:ascii="TimesNewRomanPSMT" w:hAnsi="TimesNewRomanPSMT"/>
        </w:rPr>
        <w:t xml:space="preserve"> transformados e consolidados nas formas adequadas para a mineração, de acordo com a técnica a ser utilizada; </w:t>
      </w:r>
    </w:p>
    <w:p w14:paraId="7D8B7C8E" w14:textId="2DBBC0BD" w:rsidR="00B54457" w:rsidRPr="00B54457" w:rsidRDefault="00817301" w:rsidP="00B54457">
      <w:pPr>
        <w:pStyle w:val="PargrafodaLista"/>
        <w:numPr>
          <w:ilvl w:val="0"/>
          <w:numId w:val="1"/>
        </w:numPr>
        <w:ind w:left="1134" w:hanging="425"/>
        <w:jc w:val="both"/>
      </w:pPr>
      <w:proofErr w:type="spellStart"/>
      <w:r>
        <w:rPr>
          <w:rFonts w:ascii="TimesNewRomanPSMT" w:hAnsi="TimesNewRomanPSMT"/>
        </w:rPr>
        <w:t>m</w:t>
      </w:r>
      <w:r w:rsidR="00FD5030" w:rsidRPr="00B54457">
        <w:rPr>
          <w:rFonts w:ascii="TimesNewRomanPSMT" w:hAnsi="TimesNewRomanPSMT"/>
        </w:rPr>
        <w:t>ineração</w:t>
      </w:r>
      <w:proofErr w:type="spellEnd"/>
      <w:r w:rsidR="00FD5030" w:rsidRPr="00B54457">
        <w:rPr>
          <w:rFonts w:ascii="TimesNewRomanPSMT" w:hAnsi="TimesNewRomanPSMT"/>
        </w:rPr>
        <w:t xml:space="preserve"> de dados: um processo essencial no qual métodos inteligentes são aplicados no intuito de extrair </w:t>
      </w:r>
      <w:proofErr w:type="spellStart"/>
      <w:r w:rsidR="00FD5030" w:rsidRPr="00B54457">
        <w:rPr>
          <w:rFonts w:ascii="TimesNewRomanPSMT" w:hAnsi="TimesNewRomanPSMT"/>
        </w:rPr>
        <w:t>padrões</w:t>
      </w:r>
      <w:proofErr w:type="spellEnd"/>
      <w:r w:rsidR="00FD5030" w:rsidRPr="00B54457">
        <w:rPr>
          <w:rFonts w:ascii="TimesNewRomanPSMT" w:hAnsi="TimesNewRomanPSMT"/>
        </w:rPr>
        <w:t xml:space="preserve"> a partir dos dados; e </w:t>
      </w:r>
    </w:p>
    <w:p w14:paraId="026678BE" w14:textId="654E270F" w:rsidR="00FD5030" w:rsidRPr="00FF242C" w:rsidRDefault="00817301" w:rsidP="00B54457">
      <w:pPr>
        <w:pStyle w:val="PargrafodaLista"/>
        <w:numPr>
          <w:ilvl w:val="0"/>
          <w:numId w:val="1"/>
        </w:numPr>
        <w:ind w:left="1134" w:hanging="425"/>
        <w:jc w:val="both"/>
      </w:pPr>
      <w:proofErr w:type="spellStart"/>
      <w:r>
        <w:rPr>
          <w:rFonts w:ascii="TimesNewRomanPSMT" w:hAnsi="TimesNewRomanPSMT"/>
        </w:rPr>
        <w:t>a</w:t>
      </w:r>
      <w:r w:rsidR="00FD5030" w:rsidRPr="00B54457">
        <w:rPr>
          <w:rFonts w:ascii="TimesNewRomanPSMT" w:hAnsi="TimesNewRomanPSMT"/>
        </w:rPr>
        <w:t>valiação</w:t>
      </w:r>
      <w:proofErr w:type="spellEnd"/>
      <w:r w:rsidR="00FD5030" w:rsidRPr="00B54457">
        <w:rPr>
          <w:rFonts w:ascii="TimesNewRomanPSMT" w:hAnsi="TimesNewRomanPSMT"/>
        </w:rPr>
        <w:t>/</w:t>
      </w:r>
      <w:proofErr w:type="spellStart"/>
      <w:r w:rsidR="00FD5030" w:rsidRPr="00B54457">
        <w:rPr>
          <w:rFonts w:ascii="TimesNewRomanPSMT" w:hAnsi="TimesNewRomanPSMT"/>
        </w:rPr>
        <w:t>Interpretação</w:t>
      </w:r>
      <w:proofErr w:type="spellEnd"/>
      <w:r w:rsidR="00FD5030" w:rsidRPr="00B54457">
        <w:rPr>
          <w:rFonts w:ascii="TimesNewRomanPSMT" w:hAnsi="TimesNewRomanPSMT"/>
        </w:rPr>
        <w:t xml:space="preserve">: consiste na </w:t>
      </w:r>
      <w:proofErr w:type="spellStart"/>
      <w:r w:rsidR="00FD5030" w:rsidRPr="00B54457">
        <w:rPr>
          <w:rFonts w:ascii="TimesNewRomanPSMT" w:hAnsi="TimesNewRomanPSMT"/>
        </w:rPr>
        <w:t>identificação</w:t>
      </w:r>
      <w:proofErr w:type="spellEnd"/>
      <w:r w:rsidR="00FD5030" w:rsidRPr="00B54457">
        <w:rPr>
          <w:rFonts w:ascii="TimesNewRomanPSMT" w:hAnsi="TimesNewRomanPSMT"/>
        </w:rPr>
        <w:t xml:space="preserve"> dos </w:t>
      </w:r>
      <w:proofErr w:type="spellStart"/>
      <w:r w:rsidR="00FD5030" w:rsidRPr="00B54457">
        <w:rPr>
          <w:rFonts w:ascii="TimesNewRomanPSMT" w:hAnsi="TimesNewRomanPSMT"/>
        </w:rPr>
        <w:t>padrões</w:t>
      </w:r>
      <w:proofErr w:type="spellEnd"/>
      <w:r w:rsidR="00FD5030" w:rsidRPr="00B54457">
        <w:rPr>
          <w:rFonts w:ascii="TimesNewRomanPSMT" w:hAnsi="TimesNewRomanPSMT"/>
        </w:rPr>
        <w:t xml:space="preserve"> obtidos que foram realmente relevantes, dadas as medidas ou </w:t>
      </w:r>
      <w:proofErr w:type="spellStart"/>
      <w:r w:rsidR="00FD5030" w:rsidRPr="00B54457">
        <w:rPr>
          <w:rFonts w:ascii="TimesNewRomanPSMT" w:hAnsi="TimesNewRomanPSMT"/>
        </w:rPr>
        <w:t>funções</w:t>
      </w:r>
      <w:proofErr w:type="spellEnd"/>
      <w:r w:rsidR="00FD5030" w:rsidRPr="00B54457">
        <w:rPr>
          <w:rFonts w:ascii="TimesNewRomanPSMT" w:hAnsi="TimesNewRomanPSMT"/>
        </w:rPr>
        <w:t xml:space="preserve"> de </w:t>
      </w:r>
      <w:proofErr w:type="spellStart"/>
      <w:r w:rsidR="00FD5030" w:rsidRPr="00B54457">
        <w:rPr>
          <w:rFonts w:ascii="TimesNewRomanPSMT" w:hAnsi="TimesNewRomanPSMT"/>
        </w:rPr>
        <w:t>avaliação</w:t>
      </w:r>
      <w:proofErr w:type="spellEnd"/>
      <w:r w:rsidR="00FD5030" w:rsidRPr="00B54457">
        <w:rPr>
          <w:rFonts w:ascii="TimesNewRomanPSMT" w:hAnsi="TimesNewRomanPSMT"/>
        </w:rPr>
        <w:t xml:space="preserve">. </w:t>
      </w:r>
      <w:proofErr w:type="spellStart"/>
      <w:r w:rsidR="00FD5030" w:rsidRPr="00B54457">
        <w:rPr>
          <w:rFonts w:ascii="TimesNewRomanPSMT" w:hAnsi="TimesNewRomanPSMT"/>
        </w:rPr>
        <w:t>Além</w:t>
      </w:r>
      <w:proofErr w:type="spellEnd"/>
      <w:r w:rsidR="00FD5030" w:rsidRPr="00B54457">
        <w:rPr>
          <w:rFonts w:ascii="TimesNewRomanPSMT" w:hAnsi="TimesNewRomanPSMT"/>
        </w:rPr>
        <w:t xml:space="preserve"> disso, </w:t>
      </w:r>
      <w:proofErr w:type="spellStart"/>
      <w:r w:rsidR="00FD5030" w:rsidRPr="00B54457">
        <w:rPr>
          <w:rFonts w:ascii="TimesNewRomanPSMT" w:hAnsi="TimesNewRomanPSMT"/>
        </w:rPr>
        <w:t>técnicas</w:t>
      </w:r>
      <w:proofErr w:type="spellEnd"/>
      <w:r w:rsidR="00FD5030" w:rsidRPr="00B54457">
        <w:rPr>
          <w:rFonts w:ascii="TimesNewRomanPSMT" w:hAnsi="TimesNewRomanPSMT"/>
        </w:rPr>
        <w:t xml:space="preserve"> de </w:t>
      </w:r>
      <w:proofErr w:type="spellStart"/>
      <w:r w:rsidR="00FD5030" w:rsidRPr="00B54457">
        <w:rPr>
          <w:rFonts w:ascii="TimesNewRomanPSMT" w:hAnsi="TimesNewRomanPSMT"/>
        </w:rPr>
        <w:t>representação</w:t>
      </w:r>
      <w:proofErr w:type="spellEnd"/>
      <w:r w:rsidR="00FD5030" w:rsidRPr="00B54457">
        <w:rPr>
          <w:rFonts w:ascii="TimesNewRomanPSMT" w:hAnsi="TimesNewRomanPSMT"/>
        </w:rPr>
        <w:t xml:space="preserve"> e </w:t>
      </w:r>
      <w:proofErr w:type="spellStart"/>
      <w:r w:rsidR="00FD5030" w:rsidRPr="00B54457">
        <w:rPr>
          <w:rFonts w:ascii="TimesNewRomanPSMT" w:hAnsi="TimesNewRomanPSMT"/>
        </w:rPr>
        <w:t>visualização</w:t>
      </w:r>
      <w:proofErr w:type="spellEnd"/>
      <w:r w:rsidR="00FD5030" w:rsidRPr="00B54457">
        <w:rPr>
          <w:rFonts w:ascii="TimesNewRomanPSMT" w:hAnsi="TimesNewRomanPSMT"/>
        </w:rPr>
        <w:t xml:space="preserve"> </w:t>
      </w:r>
      <w:proofErr w:type="spellStart"/>
      <w:r w:rsidR="00FD5030" w:rsidRPr="00B54457">
        <w:rPr>
          <w:rFonts w:ascii="TimesNewRomanPSMT" w:hAnsi="TimesNewRomanPSMT"/>
        </w:rPr>
        <w:t>são</w:t>
      </w:r>
      <w:proofErr w:type="spellEnd"/>
      <w:r w:rsidR="00FD5030" w:rsidRPr="00B54457">
        <w:rPr>
          <w:rFonts w:ascii="TimesNewRomanPSMT" w:hAnsi="TimesNewRomanPSMT"/>
        </w:rPr>
        <w:t xml:space="preserve"> utilizadas para apresentar o conhecimento minerado ao usuário. </w:t>
      </w:r>
    </w:p>
    <w:p w14:paraId="6633859B" w14:textId="6CBF7DA2" w:rsidR="00FF242C" w:rsidRDefault="00FF242C" w:rsidP="00FF242C">
      <w:pPr>
        <w:jc w:val="both"/>
      </w:pPr>
    </w:p>
    <w:p w14:paraId="0943AE2F" w14:textId="047DFE25" w:rsidR="00FF242C" w:rsidRDefault="00FF242C" w:rsidP="00FF242C">
      <w:pPr>
        <w:jc w:val="both"/>
      </w:pPr>
    </w:p>
    <w:p w14:paraId="708B8657" w14:textId="33AD9A96" w:rsidR="00FF242C" w:rsidRDefault="00FF242C" w:rsidP="00FF242C">
      <w:pPr>
        <w:jc w:val="both"/>
      </w:pPr>
    </w:p>
    <w:p w14:paraId="26104463" w14:textId="591C3FE9" w:rsidR="00FF242C" w:rsidRDefault="00FF242C" w:rsidP="00FF242C">
      <w:pPr>
        <w:jc w:val="both"/>
      </w:pPr>
    </w:p>
    <w:p w14:paraId="2BCCC575" w14:textId="69BFDDFC" w:rsidR="00FF242C" w:rsidRDefault="00FF242C" w:rsidP="00FF242C">
      <w:pPr>
        <w:jc w:val="both"/>
      </w:pPr>
    </w:p>
    <w:p w14:paraId="00B40D81" w14:textId="77777777" w:rsidR="00FF242C" w:rsidRPr="00B54457" w:rsidRDefault="00FF242C" w:rsidP="00FF242C">
      <w:pPr>
        <w:jc w:val="both"/>
      </w:pPr>
    </w:p>
    <w:p w14:paraId="6312A647" w14:textId="77777777" w:rsidR="00FD5030" w:rsidRDefault="00FD5030" w:rsidP="00FD5030">
      <w:pPr>
        <w:spacing w:line="259" w:lineRule="auto"/>
        <w:ind w:right="4"/>
        <w:rPr>
          <w:b/>
          <w:sz w:val="20"/>
        </w:rPr>
      </w:pPr>
    </w:p>
    <w:p w14:paraId="5D81D6A5" w14:textId="77777777" w:rsidR="00FD5030" w:rsidRDefault="00FD5030" w:rsidP="00FF242C">
      <w:pPr>
        <w:spacing w:line="259" w:lineRule="auto"/>
        <w:ind w:left="11" w:right="6" w:hanging="11"/>
        <w:rPr>
          <w:b/>
          <w:sz w:val="20"/>
        </w:rPr>
      </w:pPr>
      <w:r>
        <w:rPr>
          <w:b/>
          <w:sz w:val="20"/>
        </w:rPr>
        <w:lastRenderedPageBreak/>
        <w:t>Figura 2 – Etapas do KDD</w:t>
      </w:r>
    </w:p>
    <w:p w14:paraId="7E60D6FE" w14:textId="5422C866" w:rsidR="00FD5030" w:rsidRDefault="00FD5030" w:rsidP="00FD5030">
      <w:pPr>
        <w:spacing w:beforeAutospacing="1" w:afterAutospacing="1"/>
        <w:rPr>
          <w:rFonts w:ascii="TimesNewRomanPSMT" w:hAnsi="TimesNewRomanPSMT"/>
          <w:sz w:val="18"/>
          <w:szCs w:val="18"/>
        </w:rPr>
      </w:pPr>
      <w:r>
        <w:rPr>
          <w:noProof/>
        </w:rPr>
        <w:drawing>
          <wp:inline distT="0" distB="0" distL="0" distR="0" wp14:anchorId="2C3000F3" wp14:editId="48A13608">
            <wp:extent cx="5766435" cy="914400"/>
            <wp:effectExtent l="0" t="0" r="24765"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rFonts w:ascii="TimesNewRomanPSMT" w:hAnsi="TimesNewRomanPSMT"/>
          <w:sz w:val="18"/>
          <w:szCs w:val="18"/>
        </w:rPr>
        <w:t xml:space="preserve">Fonte: Adaptado de MOLINA-CORONADO, Borja et al (2020). </w:t>
      </w:r>
    </w:p>
    <w:p w14:paraId="4D96888B" w14:textId="118D7A5C" w:rsidR="00364D60" w:rsidRDefault="00FD5030" w:rsidP="00B6591A">
      <w:pPr>
        <w:ind w:firstLine="720"/>
        <w:jc w:val="both"/>
        <w:rPr>
          <w:rFonts w:ascii="TimesNewRomanPSMT" w:hAnsi="TimesNewRomanPSMT"/>
        </w:rPr>
      </w:pPr>
      <w:r>
        <w:t xml:space="preserve">Dada a natureza iterativa deste processo, algumas etapas podem ter que ser reaplicadas e repensadas mais de uma vez para alcançar resultados satisfatórios (DOMINGOS, 2012), já que o </w:t>
      </w:r>
      <w:r>
        <w:rPr>
          <w:rFonts w:ascii="TimesNewRomanPSMT" w:hAnsi="TimesNewRomanPSMT"/>
        </w:rPr>
        <w:t xml:space="preserve">objetivo principal do KDD é a busca por novo conhecimento que possa ser útil ao usuário (GOLDSCHMIDT; PASSOS; BEZERRA, 2015). </w:t>
      </w:r>
    </w:p>
    <w:p w14:paraId="73D56745" w14:textId="77777777" w:rsidR="00FD5030" w:rsidRDefault="00FD5030" w:rsidP="00FD5030">
      <w:pPr>
        <w:ind w:firstLine="720"/>
        <w:jc w:val="both"/>
      </w:pPr>
    </w:p>
    <w:p w14:paraId="5CE7BD19" w14:textId="7B9BD603" w:rsidR="00FD5030" w:rsidRDefault="00FD5030" w:rsidP="00FD5030">
      <w:pPr>
        <w:rPr>
          <w:rFonts w:ascii="TimesNewRomanPS" w:hAnsi="TimesNewRomanPS"/>
        </w:rPr>
      </w:pPr>
      <w:r>
        <w:t>2.5</w:t>
      </w:r>
      <w:r>
        <w:rPr>
          <w:i/>
          <w:iCs/>
        </w:rPr>
        <w:t xml:space="preserve"> </w:t>
      </w:r>
      <w:r>
        <w:rPr>
          <w:rFonts w:ascii="TimesNewRomanPS" w:hAnsi="TimesNewRomanPS"/>
        </w:rPr>
        <w:t>ANÁLISE DE COMPONENTES PRINCIPAIS (ACP)</w:t>
      </w:r>
    </w:p>
    <w:p w14:paraId="246E32F1" w14:textId="77777777" w:rsidR="00B6591A" w:rsidRDefault="00B6591A" w:rsidP="00FD5030">
      <w:pPr>
        <w:rPr>
          <w:rFonts w:ascii="TimesNewRomanPS" w:hAnsi="TimesNewRomanPS"/>
        </w:rPr>
      </w:pPr>
    </w:p>
    <w:p w14:paraId="414E4BD0" w14:textId="77777777" w:rsidR="00FD5030" w:rsidRDefault="00FD5030" w:rsidP="00FD5030">
      <w:pPr>
        <w:ind w:firstLine="691"/>
        <w:jc w:val="both"/>
      </w:pPr>
      <w:r>
        <w:rPr>
          <w:rFonts w:ascii="TimesNewRomanPSMT" w:hAnsi="TimesNewRomanPSMT"/>
        </w:rPr>
        <w:t xml:space="preserve">Uma técnica estatística que pode ser utilizada na etapa de Mineração de Dados é a Análise de Componentes Principais (ACP) (BRUCE; BRUCE; GEDECK, 2020). A ACP é uma ferramenta descritiva que não precisa de suposições de distribuição e, como tal, é um método exploratório adaptativo que pode ser usado em dados numéricos de vários tipos (JOLLIFFE; CADIMA, 2016). Segundo </w:t>
      </w:r>
      <w:proofErr w:type="spellStart"/>
      <w:r>
        <w:rPr>
          <w:rFonts w:ascii="TimesNewRomanPSMT" w:hAnsi="TimesNewRomanPSMT"/>
        </w:rPr>
        <w:t>Abdi</w:t>
      </w:r>
      <w:proofErr w:type="spellEnd"/>
      <w:r>
        <w:rPr>
          <w:rFonts w:ascii="TimesNewRomanPSMT" w:hAnsi="TimesNewRomanPSMT"/>
        </w:rPr>
        <w:t xml:space="preserve"> e Williams (2010), </w:t>
      </w:r>
      <w:r>
        <w:t>o cálculo de componentes principais é um método estatístico clássico, que se baseia na matriz de correlação dos dados ou na matriz de covariância, e é executado rapidamente, sem depender de iteração.</w:t>
      </w:r>
    </w:p>
    <w:p w14:paraId="73BF3B55" w14:textId="77777777" w:rsidR="00FD5030" w:rsidRDefault="00FD5030" w:rsidP="00FD5030">
      <w:pPr>
        <w:ind w:firstLine="720"/>
        <w:jc w:val="both"/>
        <w:rPr>
          <w:rFonts w:ascii="TimesNewRomanPSMT" w:hAnsi="TimesNewRomanPSMT"/>
        </w:rPr>
      </w:pPr>
      <w:r>
        <w:rPr>
          <w:rFonts w:ascii="TimesNewRomanPSMT" w:hAnsi="TimesNewRomanPSMT"/>
        </w:rPr>
        <w:t xml:space="preserve">A ACP possui como objetivos </w:t>
      </w:r>
      <w:r>
        <w:t>extrair as informações mais importantes da tabela de dados; comprimir o tamanho do conjunto de dados mantendo</w:t>
      </w:r>
      <w:r>
        <w:rPr>
          <w:color w:val="FF0000"/>
        </w:rPr>
        <w:t xml:space="preserve"> </w:t>
      </w:r>
      <w:r>
        <w:t xml:space="preserve">apenas essas informações importantes; </w:t>
      </w:r>
      <w:r>
        <w:rPr>
          <w:color w:val="000000" w:themeColor="text1"/>
        </w:rPr>
        <w:t xml:space="preserve">simplificar a descrição do conjunto de dados; e analisar a estrutura das observações e as </w:t>
      </w:r>
      <w:r>
        <w:rPr>
          <w:rFonts w:ascii="TimesNewRomanPSMT" w:hAnsi="TimesNewRomanPSMT"/>
        </w:rPr>
        <w:t>variáveis (ABDI; WILLIAMS, 2010).</w:t>
      </w:r>
    </w:p>
    <w:p w14:paraId="0A5424BE" w14:textId="77777777" w:rsidR="00FD5030" w:rsidRDefault="00FD5030" w:rsidP="00FD5030">
      <w:pPr>
        <w:ind w:firstLine="720"/>
        <w:jc w:val="both"/>
        <w:rPr>
          <w:rFonts w:ascii="TimesNewRomanPSMT" w:hAnsi="TimesNewRomanPSMT"/>
        </w:rPr>
      </w:pPr>
      <w:r>
        <w:rPr>
          <w:rFonts w:ascii="TimesNewRomanPSMT" w:hAnsi="TimesNewRomanPSMT"/>
        </w:rPr>
        <w:t xml:space="preserve"> Sua ideia de funcionamento é simples – reduzir o tamanho de um conjunto de dados, preservando o máximo de “variabilidade” (informações estatísticas) possível </w:t>
      </w:r>
      <w:r w:rsidRPr="007A1D44">
        <w:rPr>
          <w:rFonts w:ascii="TimesNewRomanPSMT" w:hAnsi="TimesNewRomanPSMT"/>
        </w:rPr>
        <w:t>d</w:t>
      </w:r>
      <w:r>
        <w:rPr>
          <w:rFonts w:ascii="TimesNewRomanPSMT" w:hAnsi="TimesNewRomanPSMT"/>
        </w:rPr>
        <w:t>as variáveis preditoras originais. Para tal, deve-se encontrar novas variáveis que são combinações lineares daquelas no conjunto de dados primário, que maximizam, sucessivamente,</w:t>
      </w:r>
      <w:r>
        <w:rPr>
          <w:rFonts w:ascii="TimesNewRomanPSMT" w:hAnsi="TimesNewRomanPSMT"/>
          <w:color w:val="FF0000"/>
        </w:rPr>
        <w:t xml:space="preserve"> </w:t>
      </w:r>
      <w:r>
        <w:rPr>
          <w:rFonts w:ascii="TimesNewRomanPSMT" w:hAnsi="TimesNewRomanPSMT"/>
        </w:rPr>
        <w:t>a variação e que não sejam correlacionadas entre si (JOLLIFFE; CADIMA, 2016). Estas variáveis não correlacionadas são denominadas componentes principais (BRUCE; BRUCE; GEDECK, 2020).</w:t>
      </w:r>
    </w:p>
    <w:p w14:paraId="6BCB3A1F" w14:textId="0789F0BC" w:rsidR="00FD5030" w:rsidRDefault="00FD5030" w:rsidP="00FD5030">
      <w:pPr>
        <w:spacing w:line="259" w:lineRule="auto"/>
        <w:ind w:firstLine="708"/>
        <w:jc w:val="both"/>
      </w:pPr>
      <w:r>
        <w:t xml:space="preserve">Para </w:t>
      </w:r>
      <w:proofErr w:type="spellStart"/>
      <w:r>
        <w:t>Abdi</w:t>
      </w:r>
      <w:proofErr w:type="spellEnd"/>
      <w:r>
        <w:t xml:space="preserve"> e Williams (2010), o primeiro componente principal deve ter a maior variabilidade possível e, por conseguinte, este componente terá maior dificuldade em “se movimentar” perante as outras variáveis, assumindo</w:t>
      </w:r>
      <w:r w:rsidR="00B54AB6">
        <w:t>, então</w:t>
      </w:r>
      <w:r>
        <w:t xml:space="preserve">, a maior inércia da tabela de dados. Os mesmos autores afirmam ainda que o segundo componente é calculado sob a restrição de ser ortogonal ao primeiro componente e ter a maior inércia possível (também seguindo a lógica de que seja o mais estático possível) e que este raciocínio se aplica aos outros componentes. Os valores dessas novas variáveis para as observações são chamados de escores fatoriais, e esses podem ser interpretados, geometricamente, como as projeções das observações sobre os componentes principais </w:t>
      </w:r>
      <w:r>
        <w:rPr>
          <w:rFonts w:ascii="TimesNewRomanPSMT" w:hAnsi="TimesNewRomanPSMT"/>
        </w:rPr>
        <w:t>(ABDI; WILLIAMS, 2010).</w:t>
      </w:r>
    </w:p>
    <w:p w14:paraId="55EBC15E" w14:textId="77777777" w:rsidR="00FD5030" w:rsidRDefault="00FD5030" w:rsidP="00FD5030">
      <w:pPr>
        <w:ind w:firstLine="720"/>
        <w:rPr>
          <w:rFonts w:ascii="TimesNewRomanPSMT" w:hAnsi="TimesNewRomanPSMT"/>
        </w:rPr>
      </w:pPr>
      <w:r>
        <w:rPr>
          <w:rFonts w:ascii="TimesNewRomanPSMT" w:hAnsi="TimesNewRomanPSMT"/>
        </w:rPr>
        <w:t xml:space="preserve">Bruce, Bruce e </w:t>
      </w:r>
      <w:proofErr w:type="spellStart"/>
      <w:r>
        <w:rPr>
          <w:rFonts w:ascii="TimesNewRomanPSMT" w:hAnsi="TimesNewRomanPSMT"/>
        </w:rPr>
        <w:t>Gedeck</w:t>
      </w:r>
      <w:proofErr w:type="spellEnd"/>
      <w:r>
        <w:rPr>
          <w:rFonts w:ascii="TimesNewRomanPSMT" w:hAnsi="TimesNewRomanPSMT"/>
        </w:rPr>
        <w:t xml:space="preserve"> (2020) descrevem o processo completo da seguinte maneira: </w:t>
      </w:r>
    </w:p>
    <w:p w14:paraId="772F87CC" w14:textId="037631E7" w:rsidR="00B6591A" w:rsidRDefault="000845C0" w:rsidP="00B6591A">
      <w:pPr>
        <w:pStyle w:val="PargrafodaLista"/>
        <w:numPr>
          <w:ilvl w:val="0"/>
          <w:numId w:val="2"/>
        </w:numPr>
        <w:ind w:left="1418" w:hanging="709"/>
        <w:jc w:val="both"/>
      </w:pPr>
      <w:r>
        <w:t>i</w:t>
      </w:r>
      <w:r w:rsidR="00FD5030">
        <w:t>nicialmente, a ACP chega à combinação linear de variáveis ​​preditoras que maximiza a porcentagem da variação total explicada</w:t>
      </w:r>
      <w:r w:rsidR="00B6591A">
        <w:t>;</w:t>
      </w:r>
    </w:p>
    <w:p w14:paraId="70FBD15A" w14:textId="7E3B0607" w:rsidR="00B6591A" w:rsidRDefault="000845C0" w:rsidP="00B6591A">
      <w:pPr>
        <w:pStyle w:val="PargrafodaLista"/>
        <w:numPr>
          <w:ilvl w:val="0"/>
          <w:numId w:val="2"/>
        </w:numPr>
        <w:ind w:left="1418" w:hanging="709"/>
        <w:jc w:val="both"/>
      </w:pPr>
      <w:r>
        <w:t>e</w:t>
      </w:r>
      <w:r w:rsidR="00FD5030">
        <w:t xml:space="preserve">sta combinação linear torna-se então o primeiro “novo” </w:t>
      </w:r>
      <w:proofErr w:type="spellStart"/>
      <w:r w:rsidR="00FD5030">
        <w:t>preditor</w:t>
      </w:r>
      <w:proofErr w:type="spellEnd"/>
      <w:r w:rsidR="00FD5030">
        <w:t>, Z1</w:t>
      </w:r>
      <w:r w:rsidR="00DD62DA">
        <w:t>;</w:t>
      </w:r>
    </w:p>
    <w:p w14:paraId="0ED2A487" w14:textId="27E1AF23" w:rsidR="00B6591A" w:rsidRDefault="00F123B1" w:rsidP="00B6591A">
      <w:pPr>
        <w:pStyle w:val="PargrafodaLista"/>
        <w:numPr>
          <w:ilvl w:val="0"/>
          <w:numId w:val="2"/>
        </w:numPr>
        <w:ind w:left="1418" w:hanging="709"/>
        <w:jc w:val="both"/>
      </w:pPr>
      <w:r>
        <w:t>a</w:t>
      </w:r>
      <w:r w:rsidR="00FD5030">
        <w:t xml:space="preserve"> ACP repete este processo, usando as mesmas variáveis ​​com pesos diferentes, para criar um segundo novo preditor, Z2. A ponderação é feita de modo que Z1 e Z2 não sejam correlacionados</w:t>
      </w:r>
      <w:r w:rsidR="00DD62DA">
        <w:t>;</w:t>
      </w:r>
    </w:p>
    <w:p w14:paraId="4C6E1DE1" w14:textId="1F8A99AF" w:rsidR="00B6591A" w:rsidRDefault="001D2326" w:rsidP="00B6591A">
      <w:pPr>
        <w:pStyle w:val="PargrafodaLista"/>
        <w:numPr>
          <w:ilvl w:val="0"/>
          <w:numId w:val="2"/>
        </w:numPr>
        <w:ind w:left="1418" w:hanging="709"/>
        <w:jc w:val="both"/>
      </w:pPr>
      <w:r>
        <w:lastRenderedPageBreak/>
        <w:t>o</w:t>
      </w:r>
      <w:r w:rsidR="00FD5030">
        <w:t xml:space="preserve"> processo continua até que se tenha tantas novas variáveis, ou componentes Zi</w:t>
      </w:r>
      <w:r w:rsidR="00FD5030" w:rsidRPr="00B6591A">
        <w:rPr>
          <w:color w:val="FF0000"/>
        </w:rPr>
        <w:t xml:space="preserve"> </w:t>
      </w:r>
      <w:r w:rsidR="00FD5030">
        <w:t>quanto as variáveis ​​</w:t>
      </w:r>
      <w:proofErr w:type="gramStart"/>
      <w:r w:rsidR="00FD5030">
        <w:t>originais Xi</w:t>
      </w:r>
      <w:proofErr w:type="gramEnd"/>
      <w:r w:rsidR="00DD62DA">
        <w:t>;</w:t>
      </w:r>
    </w:p>
    <w:p w14:paraId="5429D4C7" w14:textId="077E2F80" w:rsidR="00B6591A" w:rsidRDefault="001D2326" w:rsidP="00B6591A">
      <w:pPr>
        <w:pStyle w:val="PargrafodaLista"/>
        <w:numPr>
          <w:ilvl w:val="0"/>
          <w:numId w:val="2"/>
        </w:numPr>
        <w:ind w:left="1418" w:hanging="709"/>
        <w:jc w:val="both"/>
      </w:pPr>
      <w:r>
        <w:t>o</w:t>
      </w:r>
      <w:r w:rsidR="00FD5030">
        <w:t>pta-se por reter tantos componentes quantos forem necessários para explicar a maior parte da variação</w:t>
      </w:r>
      <w:r w:rsidR="00DD62DA">
        <w:t>; e</w:t>
      </w:r>
    </w:p>
    <w:p w14:paraId="0767497F" w14:textId="0A558C94" w:rsidR="00FD5030" w:rsidRPr="00B6591A" w:rsidRDefault="0062228A" w:rsidP="00B6591A">
      <w:pPr>
        <w:pStyle w:val="PargrafodaLista"/>
        <w:numPr>
          <w:ilvl w:val="0"/>
          <w:numId w:val="2"/>
        </w:numPr>
        <w:ind w:left="1418" w:hanging="709"/>
        <w:jc w:val="both"/>
      </w:pPr>
      <w:r>
        <w:t>o</w:t>
      </w:r>
      <w:r w:rsidR="00FD5030">
        <w:t xml:space="preserve"> resultado até agora é um conjunto de pesos para cada componente. O passo final é converter os dados originais em novas pontuações de componentes principais, aplicando os pesos aos valores originais. Essas novas pontuações podem então ser usadas como o conjunto reduzido de variáveis ​​preditoras.  </w:t>
      </w:r>
    </w:p>
    <w:p w14:paraId="207B4290" w14:textId="77777777" w:rsidR="00FD5030" w:rsidRDefault="00FD5030" w:rsidP="00FD5030">
      <w:pPr>
        <w:ind w:firstLine="720"/>
        <w:jc w:val="both"/>
        <w:rPr>
          <w:rFonts w:ascii="TimesNewRomanPSMT" w:hAnsi="TimesNewRomanPSMT"/>
        </w:rPr>
      </w:pPr>
      <w:r>
        <w:rPr>
          <w:rFonts w:ascii="TimesNewRomanPSMT" w:hAnsi="TimesNewRomanPSMT"/>
        </w:rPr>
        <w:t>A ACP é usada para identificar características entre classe</w:t>
      </w:r>
      <w:r w:rsidRPr="00D86143">
        <w:rPr>
          <w:rFonts w:ascii="TimesNewRomanPSMT" w:hAnsi="TimesNewRomanPSMT"/>
        </w:rPr>
        <w:t>s</w:t>
      </w:r>
      <w:r>
        <w:rPr>
          <w:rFonts w:ascii="TimesNewRomanPSMT" w:hAnsi="TimesNewRomanPSMT"/>
        </w:rPr>
        <w:t xml:space="preserve"> que não têm uma definição prévia (BRUCE; BRUCE; GEDECK, 2020) e representa o padrão de similaridade das observações e das variáveis ​​exibindo-as como pontos em mapas (ABDI; WILLIAMS, 2010).</w:t>
      </w:r>
    </w:p>
    <w:p w14:paraId="31D33D00" w14:textId="77777777" w:rsidR="000B5F34" w:rsidRDefault="000B5F34" w:rsidP="00FD5030">
      <w:pPr>
        <w:rPr>
          <w:rFonts w:ascii="TimesNewRomanPS" w:hAnsi="TimesNewRomanPS"/>
        </w:rPr>
      </w:pPr>
    </w:p>
    <w:p w14:paraId="4E97F24D" w14:textId="77777777" w:rsidR="00FD5030" w:rsidRDefault="00FD5030" w:rsidP="00FD5030">
      <w:pPr>
        <w:rPr>
          <w:rFonts w:ascii="TimesNewRomanPS" w:hAnsi="TimesNewRomanPS"/>
        </w:rPr>
      </w:pPr>
      <w:r>
        <w:rPr>
          <w:rFonts w:ascii="TimesNewRomanPS" w:hAnsi="TimesNewRomanPS"/>
        </w:rPr>
        <w:t xml:space="preserve">2.6 CLUSTERIZAÇÃO </w:t>
      </w:r>
    </w:p>
    <w:p w14:paraId="36374BF0" w14:textId="77777777" w:rsidR="00FD5030" w:rsidRDefault="00FD5030" w:rsidP="00FD5030">
      <w:pPr>
        <w:rPr>
          <w:rFonts w:ascii="TimesNewRomanPS" w:hAnsi="TimesNewRomanPS"/>
          <w:b/>
          <w:bCs/>
          <w:color w:val="2A6099"/>
          <w:shd w:val="clear" w:color="auto" w:fill="FFFF00"/>
        </w:rPr>
      </w:pPr>
    </w:p>
    <w:p w14:paraId="02691979" w14:textId="77777777" w:rsidR="00FD5030" w:rsidRDefault="00FD5030" w:rsidP="00FD5030">
      <w:pPr>
        <w:ind w:left="2268"/>
        <w:jc w:val="both"/>
        <w:rPr>
          <w:sz w:val="20"/>
          <w:szCs w:val="20"/>
        </w:rPr>
      </w:pPr>
      <w:r>
        <w:rPr>
          <w:sz w:val="20"/>
          <w:szCs w:val="20"/>
        </w:rPr>
        <w:t>O agrupamento (clusterização) pode ser considerado um modelo conciso dos dados que pode ser interpretado no sentido de um modelo resumido ou generativo</w:t>
      </w:r>
      <w:r>
        <w:rPr>
          <w:color w:val="FF0000"/>
          <w:sz w:val="20"/>
          <w:szCs w:val="20"/>
        </w:rPr>
        <w:t>,</w:t>
      </w:r>
      <w:r>
        <w:rPr>
          <w:sz w:val="20"/>
          <w:szCs w:val="20"/>
        </w:rPr>
        <w:t xml:space="preserve"> quando não há informações rotuladas específicas.</w:t>
      </w:r>
    </w:p>
    <w:p w14:paraId="1502DDEC" w14:textId="77777777" w:rsidR="00FD5030" w:rsidRDefault="00FD5030" w:rsidP="00FD5030">
      <w:pPr>
        <w:ind w:left="2268"/>
        <w:jc w:val="both"/>
        <w:rPr>
          <w:sz w:val="20"/>
          <w:szCs w:val="20"/>
        </w:rPr>
      </w:pPr>
      <w:r>
        <w:rPr>
          <w:sz w:val="20"/>
          <w:szCs w:val="20"/>
        </w:rPr>
        <w:t>O problema básico de agrupamento pode ser enunciado da seguinte forma:</w:t>
      </w:r>
    </w:p>
    <w:p w14:paraId="2A086B99" w14:textId="2B463CB3" w:rsidR="00FD5030" w:rsidRDefault="00FD5030" w:rsidP="00FD5030">
      <w:pPr>
        <w:ind w:left="2268"/>
        <w:jc w:val="both"/>
        <w:rPr>
          <w:sz w:val="20"/>
          <w:szCs w:val="20"/>
        </w:rPr>
      </w:pPr>
      <w:r>
        <w:rPr>
          <w:sz w:val="20"/>
          <w:szCs w:val="20"/>
        </w:rPr>
        <w:t xml:space="preserve">Dado um conjunto de pontos de dados, particione-os em um conjunto de grupos que sejam tão semelhantes quanto possível. (AGGAEWAL; REDDY, 2014, p. 2, tradução nossa) </w:t>
      </w:r>
    </w:p>
    <w:p w14:paraId="1F3E4123" w14:textId="77777777" w:rsidR="00FD5030" w:rsidRDefault="00FD5030" w:rsidP="00FD5030">
      <w:pPr>
        <w:ind w:firstLine="720"/>
        <w:jc w:val="both"/>
      </w:pPr>
    </w:p>
    <w:p w14:paraId="75D936A0" w14:textId="1033688A" w:rsidR="00FD5030" w:rsidRDefault="00FD5030" w:rsidP="00FD5030">
      <w:pPr>
        <w:ind w:firstLine="720"/>
        <w:jc w:val="both"/>
      </w:pPr>
      <w:r>
        <w:t xml:space="preserve">Nesta linha de pensamento, </w:t>
      </w:r>
      <w:proofErr w:type="spellStart"/>
      <w:r>
        <w:t>Baensens</w:t>
      </w:r>
      <w:proofErr w:type="spellEnd"/>
      <w:r>
        <w:t xml:space="preserve">, </w:t>
      </w:r>
      <w:proofErr w:type="spellStart"/>
      <w:r>
        <w:t>Vlasselaer</w:t>
      </w:r>
      <w:proofErr w:type="spellEnd"/>
      <w:r>
        <w:t xml:space="preserve"> e </w:t>
      </w:r>
      <w:proofErr w:type="spellStart"/>
      <w:r>
        <w:t>Verbeke</w:t>
      </w:r>
      <w:proofErr w:type="spellEnd"/>
      <w:r>
        <w:t xml:space="preserve"> (2015) afirmam que o objetivo da clusterização é dividir um conjunto de observações em segmentos, de forma que a homogeneidade dentro de cada segmento seja maximizada e a heterogeneidade entre os segmentos, também, seja maximizada. </w:t>
      </w:r>
    </w:p>
    <w:p w14:paraId="2911A19F" w14:textId="649E71E7" w:rsidR="00FD5030" w:rsidRDefault="00FD5030" w:rsidP="00FD5030">
      <w:pPr>
        <w:ind w:firstLine="720"/>
        <w:jc w:val="both"/>
      </w:pPr>
      <w:r>
        <w:t xml:space="preserve">Quanto aos algoritmos de clusterização, estes podem ser classificados em dois tipos: hierárquicos e particionais (JAIN; MURTY; FLYNN, 1999). Os primeiros têm complexidade de tempo quadrática ou superior ao número de pontos de dados, sendo inadequados para grandes conjuntos de dados (XU; WUNSCH, 2005). Já os particionais encontram todos os </w:t>
      </w:r>
      <w:r w:rsidRPr="002359D5">
        <w:rPr>
          <w:i/>
          <w:iCs/>
        </w:rPr>
        <w:t>clusters</w:t>
      </w:r>
      <w:r>
        <w:t xml:space="preserve"> simultaneamente como uma partição dos dados e </w:t>
      </w:r>
      <w:r w:rsidRPr="009E7BE0">
        <w:t>funcionam bem com clusters no formato esférico (CELEBI, 2014).</w:t>
      </w:r>
      <w:r>
        <w:t xml:space="preserve"> </w:t>
      </w:r>
      <w:r w:rsidR="00A804C6">
        <w:t xml:space="preserve">A imagem abaixo demonstra um exemplo de </w:t>
      </w:r>
      <w:proofErr w:type="spellStart"/>
      <w:r w:rsidR="00A804C6">
        <w:t>clusterização</w:t>
      </w:r>
      <w:proofErr w:type="spellEnd"/>
      <w:r w:rsidR="00A804C6">
        <w:t xml:space="preserve"> deste tipo.</w:t>
      </w:r>
    </w:p>
    <w:p w14:paraId="2D848522" w14:textId="77777777" w:rsidR="00BA4E8E" w:rsidRDefault="00BA4E8E" w:rsidP="00FD5030">
      <w:pPr>
        <w:ind w:firstLine="720"/>
        <w:jc w:val="both"/>
      </w:pPr>
    </w:p>
    <w:p w14:paraId="619567DD" w14:textId="7FCCDDD1" w:rsidR="00C9518F" w:rsidRPr="00C9518F" w:rsidRDefault="00C9518F" w:rsidP="00C9518F">
      <w:pPr>
        <w:ind w:firstLine="720"/>
        <w:jc w:val="both"/>
      </w:pPr>
      <w:r>
        <w:rPr>
          <w:b/>
          <w:bCs/>
          <w:color w:val="000000"/>
          <w:sz w:val="20"/>
          <w:szCs w:val="20"/>
        </w:rPr>
        <w:t xml:space="preserve">Figura </w:t>
      </w:r>
      <w:r w:rsidR="000A7CDD">
        <w:rPr>
          <w:b/>
          <w:bCs/>
          <w:color w:val="000000"/>
          <w:sz w:val="20"/>
          <w:szCs w:val="20"/>
        </w:rPr>
        <w:t>3</w:t>
      </w:r>
      <w:r>
        <w:rPr>
          <w:b/>
          <w:bCs/>
          <w:color w:val="000000"/>
          <w:sz w:val="20"/>
          <w:szCs w:val="20"/>
        </w:rPr>
        <w:t xml:space="preserve"> – </w:t>
      </w:r>
      <w:r>
        <w:rPr>
          <w:b/>
          <w:bCs/>
          <w:i/>
          <w:iCs/>
          <w:color w:val="000000"/>
          <w:sz w:val="20"/>
          <w:szCs w:val="20"/>
        </w:rPr>
        <w:t>Clusters</w:t>
      </w:r>
      <w:r>
        <w:rPr>
          <w:b/>
          <w:bCs/>
          <w:color w:val="000000"/>
          <w:sz w:val="20"/>
          <w:szCs w:val="20"/>
        </w:rPr>
        <w:t xml:space="preserve"> esféricos</w:t>
      </w:r>
    </w:p>
    <w:p w14:paraId="0D8CDA95" w14:textId="7305E33C" w:rsidR="00C9518F" w:rsidRPr="00C9518F" w:rsidRDefault="00C9518F" w:rsidP="00C9518F">
      <w:pPr>
        <w:ind w:firstLine="720"/>
        <w:jc w:val="both"/>
      </w:pPr>
      <w:r>
        <w:rPr>
          <w:noProof/>
        </w:rPr>
        <w:drawing>
          <wp:inline distT="0" distB="0" distL="0" distR="0" wp14:anchorId="43EB596D" wp14:editId="10D52C3B">
            <wp:extent cx="3561806" cy="2732490"/>
            <wp:effectExtent l="0" t="0" r="0" b="0"/>
            <wp:docPr id="11" name="Imagem 1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iagrama&#10;&#10;Descrição gerad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2709" cy="2756198"/>
                    </a:xfrm>
                    <a:prstGeom prst="rect">
                      <a:avLst/>
                    </a:prstGeom>
                  </pic:spPr>
                </pic:pic>
              </a:graphicData>
            </a:graphic>
          </wp:inline>
        </w:drawing>
      </w:r>
    </w:p>
    <w:p w14:paraId="1CA95489" w14:textId="76F9BB32" w:rsidR="00C9518F" w:rsidRDefault="00A43F74" w:rsidP="00BC71C9">
      <w:pPr>
        <w:rPr>
          <w:rFonts w:ascii="TimesNewRomanPSMT" w:hAnsi="TimesNewRomanPSMT"/>
          <w:sz w:val="18"/>
          <w:szCs w:val="18"/>
        </w:rPr>
      </w:pPr>
      <w:r>
        <w:rPr>
          <w:rFonts w:ascii="TimesNewRomanPSMT" w:hAnsi="TimesNewRomanPSMT"/>
          <w:sz w:val="18"/>
          <w:szCs w:val="18"/>
        </w:rPr>
        <w:t xml:space="preserve">            </w:t>
      </w:r>
      <w:r w:rsidR="00AC2514">
        <w:rPr>
          <w:rFonts w:ascii="TimesNewRomanPSMT" w:hAnsi="TimesNewRomanPSMT"/>
          <w:sz w:val="18"/>
          <w:szCs w:val="18"/>
        </w:rPr>
        <w:t xml:space="preserve">    </w:t>
      </w:r>
      <w:r w:rsidR="00C9518F">
        <w:rPr>
          <w:rFonts w:ascii="TimesNewRomanPSMT" w:hAnsi="TimesNewRomanPSMT"/>
          <w:sz w:val="18"/>
          <w:szCs w:val="18"/>
        </w:rPr>
        <w:t xml:space="preserve">Fonte: Adaptado de Vichi e </w:t>
      </w:r>
      <w:proofErr w:type="spellStart"/>
      <w:r w:rsidR="00C9518F">
        <w:rPr>
          <w:rFonts w:ascii="TimesNewRomanPSMT" w:hAnsi="TimesNewRomanPSMT"/>
          <w:sz w:val="18"/>
          <w:szCs w:val="18"/>
        </w:rPr>
        <w:t>Saporta</w:t>
      </w:r>
      <w:proofErr w:type="spellEnd"/>
      <w:r w:rsidR="00C9518F">
        <w:rPr>
          <w:rFonts w:ascii="TimesNewRomanPSMT" w:hAnsi="TimesNewRomanPSMT"/>
          <w:sz w:val="18"/>
          <w:szCs w:val="18"/>
        </w:rPr>
        <w:t xml:space="preserve"> (2009). </w:t>
      </w:r>
    </w:p>
    <w:p w14:paraId="658F5337" w14:textId="77777777" w:rsidR="00AC2514" w:rsidRPr="00AC2514" w:rsidRDefault="00AC2514" w:rsidP="00BC71C9">
      <w:pPr>
        <w:rPr>
          <w:rFonts w:ascii="TimesNewRomanPSMT" w:hAnsi="TimesNewRomanPSMT"/>
        </w:rPr>
      </w:pPr>
    </w:p>
    <w:p w14:paraId="2472103A" w14:textId="168802E8" w:rsidR="00FD5030" w:rsidRDefault="00FD5030" w:rsidP="00FD5030">
      <w:pPr>
        <w:ind w:firstLine="720"/>
        <w:jc w:val="both"/>
      </w:pPr>
      <w:proofErr w:type="spellStart"/>
      <w:r w:rsidRPr="00D1251C">
        <w:t>Jain</w:t>
      </w:r>
      <w:proofErr w:type="spellEnd"/>
      <w:r w:rsidRPr="00D1251C">
        <w:t xml:space="preserve"> </w:t>
      </w:r>
      <w:r>
        <w:t xml:space="preserve">e </w:t>
      </w:r>
      <w:proofErr w:type="spellStart"/>
      <w:r>
        <w:t>Dubes</w:t>
      </w:r>
      <w:proofErr w:type="spellEnd"/>
      <w:r>
        <w:t xml:space="preserve"> </w:t>
      </w:r>
      <w:r w:rsidRPr="00D1251C">
        <w:t>(1988) explora</w:t>
      </w:r>
      <w:r>
        <w:t>m</w:t>
      </w:r>
      <w:r w:rsidRPr="00D1251C">
        <w:t xml:space="preserve"> uma abordagem</w:t>
      </w:r>
      <w:r>
        <w:t xml:space="preserve"> peculiar de </w:t>
      </w:r>
      <w:proofErr w:type="spellStart"/>
      <w:r>
        <w:t>clusterização</w:t>
      </w:r>
      <w:proofErr w:type="spellEnd"/>
      <w:r>
        <w:t xml:space="preserve"> </w:t>
      </w:r>
      <w:proofErr w:type="spellStart"/>
      <w:r>
        <w:t>particional</w:t>
      </w:r>
      <w:proofErr w:type="spellEnd"/>
      <w:r w:rsidRPr="00D1251C">
        <w:t xml:space="preserve"> baseada em densidade para identificar clusters em conjuntos de pontos k-dimensionai</w:t>
      </w:r>
      <w:r>
        <w:t>s. Nesta abordagem,</w:t>
      </w:r>
      <w:r w:rsidRPr="00D1251C">
        <w:t xml:space="preserve"> </w:t>
      </w:r>
      <w:r>
        <w:t>o</w:t>
      </w:r>
      <w:r w:rsidRPr="00D1251C">
        <w:t xml:space="preserve"> conjunto de dados é particionado em um número de células não sobrepostas e histogramas são construídos. Células com contagens de pontos de frequência relativamente alta são os centros potenciais dos aglomerados e os limites entre os aglomerados caem nos "vales" do histograma. E</w:t>
      </w:r>
      <w:r>
        <w:t>mbora este</w:t>
      </w:r>
      <w:r w:rsidRPr="00D1251C">
        <w:t xml:space="preserve"> método te</w:t>
      </w:r>
      <w:r>
        <w:t>nha</w:t>
      </w:r>
      <w:r w:rsidRPr="00D1251C">
        <w:t xml:space="preserve"> a capacidade de identificar aglomerados de qualquer forma</w:t>
      </w:r>
      <w:r>
        <w:t xml:space="preserve">, </w:t>
      </w:r>
      <w:r w:rsidRPr="00D1251C">
        <w:t xml:space="preserve">os requisitos de espaço e tempo de execução para armazenar e pesquisar histogramas multidimensionais podem ser enormes. </w:t>
      </w:r>
    </w:p>
    <w:p w14:paraId="10593595" w14:textId="77777777" w:rsidR="00AC2514" w:rsidRDefault="00AC2514" w:rsidP="00FD5030">
      <w:pPr>
        <w:spacing w:after="2" w:line="235" w:lineRule="auto"/>
      </w:pPr>
    </w:p>
    <w:p w14:paraId="67001846" w14:textId="5D0E997D" w:rsidR="00FD5030" w:rsidRDefault="00FD5030" w:rsidP="00FD5030">
      <w:pPr>
        <w:spacing w:after="2" w:line="235" w:lineRule="auto"/>
        <w:rPr>
          <w:b/>
          <w:bCs/>
          <w:i/>
          <w:iCs/>
        </w:rPr>
      </w:pPr>
      <w:r>
        <w:rPr>
          <w:b/>
          <w:bCs/>
        </w:rPr>
        <w:t xml:space="preserve">2.6.1 Método </w:t>
      </w:r>
      <w:proofErr w:type="spellStart"/>
      <w:r w:rsidRPr="00FC0661">
        <w:rPr>
          <w:b/>
          <w:bCs/>
          <w:i/>
          <w:iCs/>
        </w:rPr>
        <w:t>Elbow</w:t>
      </w:r>
      <w:proofErr w:type="spellEnd"/>
    </w:p>
    <w:p w14:paraId="14234A3F" w14:textId="77777777" w:rsidR="00BA4E8E" w:rsidRPr="00FC0661" w:rsidRDefault="00BA4E8E" w:rsidP="00FD5030">
      <w:pPr>
        <w:spacing w:after="2" w:line="235" w:lineRule="auto"/>
        <w:rPr>
          <w:b/>
          <w:bCs/>
          <w:i/>
          <w:iCs/>
        </w:rPr>
      </w:pPr>
    </w:p>
    <w:p w14:paraId="09B0193D" w14:textId="77777777" w:rsidR="00FD5030" w:rsidRDefault="00FD5030" w:rsidP="00FD5030">
      <w:pPr>
        <w:spacing w:after="2" w:line="235" w:lineRule="auto"/>
        <w:ind w:left="-15" w:firstLine="706"/>
        <w:jc w:val="both"/>
      </w:pPr>
      <w:r>
        <w:t xml:space="preserve">O método mais antigo para determinar o melhor número de </w:t>
      </w:r>
      <w:r w:rsidRPr="002359D5">
        <w:rPr>
          <w:i/>
          <w:iCs/>
        </w:rPr>
        <w:t>clusters</w:t>
      </w:r>
      <w:r>
        <w:t xml:space="preserve"> em um conjunto de dados é chamado, coloquialmente, de método do cotovelo (NG, 2012).  Ele consiste em identificar quando o conjunto de </w:t>
      </w:r>
      <w:r w:rsidRPr="002359D5">
        <w:rPr>
          <w:i/>
          <w:iCs/>
        </w:rPr>
        <w:t>clusters</w:t>
      </w:r>
      <w:r>
        <w:t xml:space="preserve"> explica “a maior parte” da variação nos dados, o que ocorre quando a adição de novos </w:t>
      </w:r>
      <w:r w:rsidRPr="002359D5">
        <w:rPr>
          <w:i/>
          <w:iCs/>
        </w:rPr>
        <w:t>clusters</w:t>
      </w:r>
      <w:r>
        <w:t xml:space="preserve"> contribui relativamente pouco para a variação explicada </w:t>
      </w:r>
      <w:r>
        <w:rPr>
          <w:rFonts w:ascii="TimesNewRomanPSMT" w:hAnsi="TimesNewRomanPSMT"/>
        </w:rPr>
        <w:t xml:space="preserve">(BRUCE; BRUCE; GEDECK, 2020). </w:t>
      </w:r>
      <w:r>
        <w:t xml:space="preserve">A lógica é que, depois disso, ao se aumentar o número de </w:t>
      </w:r>
      <w:r w:rsidRPr="002359D5">
        <w:rPr>
          <w:i/>
          <w:iCs/>
        </w:rPr>
        <w:t>clusters</w:t>
      </w:r>
      <w:r>
        <w:t>, eles ficam muito próximo de alguns dos existentes (</w:t>
      </w:r>
      <w:r w:rsidRPr="00FC0661">
        <w:t>KODINARIYA; MAKWANA, 2013).</w:t>
      </w:r>
    </w:p>
    <w:p w14:paraId="74667E81" w14:textId="52B0801A" w:rsidR="00FD5030" w:rsidRDefault="00FD5030" w:rsidP="00FD5030">
      <w:pPr>
        <w:spacing w:after="2" w:line="235" w:lineRule="auto"/>
        <w:ind w:left="-15" w:firstLine="706"/>
        <w:jc w:val="both"/>
      </w:pPr>
      <w:r>
        <w:t xml:space="preserve">A </w:t>
      </w:r>
      <w:r w:rsidR="00C800D6">
        <w:t xml:space="preserve">próxima </w:t>
      </w:r>
      <w:r w:rsidR="00A63C02">
        <w:t>f</w:t>
      </w:r>
      <w:r w:rsidR="00C800D6">
        <w:t>igura</w:t>
      </w:r>
      <w:r>
        <w:t xml:space="preserve"> demonstra onde seria o ponto de cotovelo.</w:t>
      </w:r>
    </w:p>
    <w:p w14:paraId="5128089C" w14:textId="77777777" w:rsidR="00350135" w:rsidRDefault="00350135" w:rsidP="00350135">
      <w:pPr>
        <w:spacing w:after="2" w:line="235" w:lineRule="auto"/>
      </w:pPr>
    </w:p>
    <w:p w14:paraId="18446348" w14:textId="5FB06EA2" w:rsidR="00FD5030" w:rsidRPr="00DA482B" w:rsidRDefault="00FD5030" w:rsidP="0024264D">
      <w:pPr>
        <w:spacing w:after="2" w:line="235" w:lineRule="auto"/>
        <w:ind w:firstLine="993"/>
      </w:pPr>
      <w:r>
        <w:rPr>
          <w:b/>
          <w:sz w:val="20"/>
        </w:rPr>
        <w:t xml:space="preserve">Figura </w:t>
      </w:r>
      <w:r w:rsidR="00716F4E">
        <w:rPr>
          <w:b/>
          <w:sz w:val="20"/>
        </w:rPr>
        <w:t>4</w:t>
      </w:r>
      <w:r>
        <w:rPr>
          <w:b/>
          <w:sz w:val="20"/>
        </w:rPr>
        <w:t xml:space="preserve"> – Método </w:t>
      </w:r>
      <w:proofErr w:type="spellStart"/>
      <w:r w:rsidRPr="00FC0661">
        <w:rPr>
          <w:b/>
          <w:i/>
          <w:iCs/>
          <w:sz w:val="20"/>
        </w:rPr>
        <w:t>Elbow</w:t>
      </w:r>
      <w:proofErr w:type="spellEnd"/>
    </w:p>
    <w:p w14:paraId="12A19288" w14:textId="7311670B" w:rsidR="00FD5030" w:rsidRDefault="00DF2F46" w:rsidP="00FD5030">
      <w:pPr>
        <w:spacing w:after="2" w:line="235" w:lineRule="auto"/>
        <w:ind w:left="-15" w:firstLine="706"/>
        <w:jc w:val="center"/>
      </w:pPr>
      <w:r>
        <w:rPr>
          <w:noProof/>
        </w:rPr>
        <w:drawing>
          <wp:anchor distT="0" distB="0" distL="114300" distR="114300" simplePos="0" relativeHeight="251658240" behindDoc="0" locked="0" layoutInCell="0" allowOverlap="1" wp14:anchorId="0319F7A5" wp14:editId="407B70A5">
            <wp:simplePos x="0" y="0"/>
            <wp:positionH relativeFrom="page">
              <wp:posOffset>1908175</wp:posOffset>
            </wp:positionH>
            <wp:positionV relativeFrom="paragraph">
              <wp:posOffset>50800</wp:posOffset>
            </wp:positionV>
            <wp:extent cx="3747135" cy="1758950"/>
            <wp:effectExtent l="0" t="0" r="5715" b="0"/>
            <wp:wrapSquare wrapText="bothSides"/>
            <wp:docPr id="3"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Gráfico, Gráfico de linhas&#10;&#10;Descrição gerada automaticamente"/>
                    <pic:cNvPicPr>
                      <a:picLocks noChangeAspect="1" noChangeArrowheads="1"/>
                    </pic:cNvPicPr>
                  </pic:nvPicPr>
                  <pic:blipFill rotWithShape="1">
                    <a:blip r:embed="rId15"/>
                    <a:srcRect t="2083"/>
                    <a:stretch/>
                  </pic:blipFill>
                  <pic:spPr bwMode="auto">
                    <a:xfrm>
                      <a:off x="0" y="0"/>
                      <a:ext cx="3747135" cy="175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F28EC" w14:textId="33F400F9" w:rsidR="00FD5030" w:rsidRDefault="00FD5030" w:rsidP="00FD5030">
      <w:pPr>
        <w:spacing w:after="2" w:line="235" w:lineRule="auto"/>
        <w:ind w:left="-15" w:firstLine="706"/>
      </w:pPr>
    </w:p>
    <w:p w14:paraId="7072B04A" w14:textId="77777777" w:rsidR="00350135" w:rsidRDefault="00350135" w:rsidP="00FD5030">
      <w:pPr>
        <w:spacing w:after="2" w:line="235" w:lineRule="auto"/>
        <w:ind w:left="-15" w:firstLine="706"/>
      </w:pPr>
    </w:p>
    <w:p w14:paraId="4AEEF77B" w14:textId="35144BB1" w:rsidR="00350135" w:rsidRDefault="00194B0A" w:rsidP="00FD5030">
      <w:pPr>
        <w:spacing w:after="2" w:line="235" w:lineRule="auto"/>
        <w:ind w:left="-15" w:firstLine="706"/>
      </w:pPr>
      <w:r>
        <w:rPr>
          <w:noProof/>
        </w:rPr>
        <mc:AlternateContent>
          <mc:Choice Requires="wps">
            <w:drawing>
              <wp:anchor distT="0" distB="0" distL="114300" distR="114300" simplePos="0" relativeHeight="251660288" behindDoc="0" locked="0" layoutInCell="1" allowOverlap="1" wp14:anchorId="2C6EF8CC" wp14:editId="0057C697">
                <wp:simplePos x="0" y="0"/>
                <wp:positionH relativeFrom="column">
                  <wp:posOffset>530679</wp:posOffset>
                </wp:positionH>
                <wp:positionV relativeFrom="paragraph">
                  <wp:posOffset>173355</wp:posOffset>
                </wp:positionV>
                <wp:extent cx="1828800" cy="1828800"/>
                <wp:effectExtent l="0" t="0" r="0" b="0"/>
                <wp:wrapSquare wrapText="bothSides"/>
                <wp:docPr id="5" name="Caixa de Texto 5"/>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noFill/>
                        </a:ln>
                      </wps:spPr>
                      <wps:txbx>
                        <w:txbxContent>
                          <w:p w14:paraId="7ABBDD77" w14:textId="77777777" w:rsidR="00D91C1B" w:rsidRPr="0066798D" w:rsidRDefault="00D91C1B" w:rsidP="00194B0A">
                            <w:pPr>
                              <w:shd w:val="clear" w:color="auto" w:fill="FFFFFF" w:themeFill="background1"/>
                              <w:spacing w:after="2" w:line="235" w:lineRule="auto"/>
                            </w:pPr>
                            <w:r>
                              <w:t>Inércia</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6EF8CC" id="_x0000_t202" coordsize="21600,21600" o:spt="202" path="m,l,21600r21600,l21600,xe">
                <v:stroke joinstyle="miter"/>
                <v:path gradientshapeok="t" o:connecttype="rect"/>
              </v:shapetype>
              <v:shape id="Caixa de Texto 5" o:spid="_x0000_s1026" type="#_x0000_t202" style="position:absolute;left:0;text-align:left;margin-left:41.8pt;margin-top:13.65pt;width:2in;height:2in;rotation:18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" filled="f" stroked="f" strokeweight=".5pt">
                <v:textbox style="layout-flow:vertical-ideographic;mso-fit-shape-to-text:t">
                  <w:txbxContent>
                    <w:p w14:paraId="7ABBDD77" w14:textId="77777777" w:rsidR="00D91C1B" w:rsidRPr="0066798D" w:rsidRDefault="00D91C1B" w:rsidP="00194B0A">
                      <w:pPr>
                        <w:shd w:val="clear" w:color="auto" w:fill="FFFFFF" w:themeFill="background1"/>
                        <w:spacing w:after="2" w:line="235" w:lineRule="auto"/>
                      </w:pPr>
                      <w:r>
                        <w:t>Inércia</w:t>
                      </w:r>
                    </w:p>
                  </w:txbxContent>
                </v:textbox>
                <w10:wrap type="square"/>
              </v:shape>
            </w:pict>
          </mc:Fallback>
        </mc:AlternateContent>
      </w:r>
    </w:p>
    <w:p w14:paraId="33EA13AB" w14:textId="02EF6578" w:rsidR="00FD5030" w:rsidRDefault="00272F3B" w:rsidP="00272F3B">
      <w:pPr>
        <w:spacing w:after="2" w:line="235" w:lineRule="auto"/>
      </w:pPr>
      <w:r>
        <w:rPr>
          <w:noProof/>
        </w:rPr>
        <w:t xml:space="preserve"> </w:t>
      </w:r>
    </w:p>
    <w:p w14:paraId="76DD1411" w14:textId="14C907C2" w:rsidR="009962F5" w:rsidRDefault="00FD5030" w:rsidP="00BA4E8E">
      <w:pPr>
        <w:spacing w:after="2" w:line="235" w:lineRule="auto"/>
        <w:ind w:left="-15" w:right="2125" w:firstLine="1291"/>
        <w:jc w:val="center"/>
        <w:rPr>
          <w:i/>
          <w:iCs/>
        </w:rPr>
      </w:pPr>
      <w:r>
        <w:t xml:space="preserve">Número de </w:t>
      </w:r>
      <w:r w:rsidRPr="002359D5">
        <w:rPr>
          <w:i/>
          <w:iCs/>
        </w:rPr>
        <w:t>clusters</w:t>
      </w:r>
    </w:p>
    <w:p w14:paraId="31DC89B2" w14:textId="5E8C7F2E" w:rsidR="00FD5030" w:rsidRPr="00C457C8" w:rsidRDefault="003C66D7" w:rsidP="0024264D">
      <w:pPr>
        <w:spacing w:after="2" w:line="235" w:lineRule="auto"/>
        <w:ind w:left="993"/>
        <w:rPr>
          <w:i/>
          <w:iCs/>
        </w:rPr>
      </w:pPr>
      <w:r>
        <w:rPr>
          <w:rFonts w:ascii="TimesNewRomanPSMT" w:hAnsi="TimesNewRomanPSMT"/>
          <w:sz w:val="18"/>
          <w:szCs w:val="18"/>
        </w:rPr>
        <w:t xml:space="preserve"> </w:t>
      </w:r>
      <w:r w:rsidR="00FD5030">
        <w:rPr>
          <w:rFonts w:ascii="TimesNewRomanPSMT" w:hAnsi="TimesNewRomanPSMT"/>
          <w:sz w:val="18"/>
          <w:szCs w:val="18"/>
        </w:rPr>
        <w:t xml:space="preserve">Fonte: </w:t>
      </w:r>
      <w:r w:rsidR="00FD5030" w:rsidRPr="009962F5">
        <w:rPr>
          <w:sz w:val="18"/>
          <w:szCs w:val="18"/>
        </w:rPr>
        <w:t>Adaptado de MOYA, Ricardo (2016).</w:t>
      </w:r>
    </w:p>
    <w:p w14:paraId="602B260E" w14:textId="77777777" w:rsidR="00A43F74" w:rsidRDefault="00A43F74" w:rsidP="004C0F51">
      <w:pPr>
        <w:spacing w:after="2" w:line="235" w:lineRule="auto"/>
        <w:jc w:val="both"/>
        <w:rPr>
          <w:b/>
          <w:bCs/>
        </w:rPr>
      </w:pPr>
    </w:p>
    <w:p w14:paraId="250CC6D2" w14:textId="1A1E7D58" w:rsidR="004C0F51" w:rsidRDefault="004C0F51" w:rsidP="004C0F51">
      <w:pPr>
        <w:spacing w:after="2" w:line="235" w:lineRule="auto"/>
        <w:jc w:val="both"/>
        <w:rPr>
          <w:b/>
          <w:bCs/>
          <w:i/>
          <w:iCs/>
        </w:rPr>
      </w:pPr>
      <w:r>
        <w:rPr>
          <w:b/>
          <w:bCs/>
        </w:rPr>
        <w:t>2.6.2</w:t>
      </w:r>
      <w:r>
        <w:rPr>
          <w:b/>
          <w:bCs/>
          <w:i/>
          <w:iCs/>
        </w:rPr>
        <w:t xml:space="preserve"> K-</w:t>
      </w:r>
      <w:proofErr w:type="spellStart"/>
      <w:r>
        <w:rPr>
          <w:b/>
          <w:bCs/>
          <w:i/>
          <w:iCs/>
        </w:rPr>
        <w:t>means</w:t>
      </w:r>
      <w:proofErr w:type="spellEnd"/>
    </w:p>
    <w:p w14:paraId="1EBB4FE5" w14:textId="77777777" w:rsidR="00E053EB" w:rsidRDefault="00E053EB" w:rsidP="004C0F51">
      <w:pPr>
        <w:spacing w:after="2" w:line="235" w:lineRule="auto"/>
        <w:jc w:val="both"/>
        <w:rPr>
          <w:b/>
          <w:bCs/>
          <w:i/>
          <w:iCs/>
        </w:rPr>
      </w:pPr>
    </w:p>
    <w:p w14:paraId="76343C4E" w14:textId="77777777" w:rsidR="004C0F51" w:rsidRDefault="004C0F51" w:rsidP="004C0F51">
      <w:pPr>
        <w:spacing w:after="2" w:line="235" w:lineRule="auto"/>
        <w:ind w:left="-15" w:firstLine="706"/>
        <w:jc w:val="both"/>
        <w:rPr>
          <w:rFonts w:ascii="TimesNewRomanPSMT" w:hAnsi="TimesNewRomanPSMT"/>
        </w:rPr>
      </w:pPr>
      <w:r>
        <w:tab/>
        <w:t xml:space="preserve">Devido à simplicidade do seu algoritmo e da capacidade de trabalhar com um grande conjunto de dados, o </w:t>
      </w:r>
      <w:r>
        <w:rPr>
          <w:i/>
          <w:iCs/>
        </w:rPr>
        <w:t>k-</w:t>
      </w:r>
      <w:proofErr w:type="spellStart"/>
      <w:r>
        <w:rPr>
          <w:i/>
          <w:iCs/>
        </w:rPr>
        <w:t>means</w:t>
      </w:r>
      <w:proofErr w:type="spellEnd"/>
      <w:r>
        <w:t xml:space="preserve">, primeiro método de agrupamento desenvolvido, ainda é largamente utilizado </w:t>
      </w:r>
      <w:r>
        <w:rPr>
          <w:rFonts w:ascii="TimesNewRomanPSMT" w:hAnsi="TimesNewRomanPSMT"/>
        </w:rPr>
        <w:t xml:space="preserve">(BRUCE; BRUCE; GEDECK, 2020). O objetivo do método é dividir os dados em “k” </w:t>
      </w:r>
      <w:r w:rsidRPr="002359D5">
        <w:rPr>
          <w:rFonts w:ascii="TimesNewRomanPSMT" w:hAnsi="TimesNewRomanPSMT"/>
          <w:i/>
          <w:iCs/>
        </w:rPr>
        <w:t>clusters</w:t>
      </w:r>
      <w:r>
        <w:rPr>
          <w:rFonts w:ascii="TimesNewRomanPSMT" w:hAnsi="TimesNewRomanPSMT"/>
        </w:rPr>
        <w:t xml:space="preserve"> ao minimizar a soma das distâncias quadradas de cada registro à média do </w:t>
      </w:r>
      <w:r w:rsidRPr="002359D5">
        <w:rPr>
          <w:rFonts w:ascii="TimesNewRomanPSMT" w:hAnsi="TimesNewRomanPSMT"/>
          <w:i/>
          <w:iCs/>
        </w:rPr>
        <w:t xml:space="preserve">cluster </w:t>
      </w:r>
      <w:r>
        <w:rPr>
          <w:rFonts w:ascii="TimesNewRomanPSMT" w:hAnsi="TimesNewRomanPSMT"/>
        </w:rPr>
        <w:t>atribuíd</w:t>
      </w:r>
      <w:r>
        <w:t>o (AGGAEWAL; REDDY, 2014).</w:t>
      </w:r>
      <w:r>
        <w:rPr>
          <w:sz w:val="22"/>
          <w:szCs w:val="22"/>
        </w:rPr>
        <w:t xml:space="preserve"> </w:t>
      </w:r>
      <w:r>
        <w:rPr>
          <w:rFonts w:ascii="TimesNewRomanPSMT" w:hAnsi="TimesNewRomanPSMT"/>
        </w:rPr>
        <w:t xml:space="preserve">Este algoritmo não garante que os </w:t>
      </w:r>
      <w:r w:rsidRPr="002359D5">
        <w:rPr>
          <w:rFonts w:ascii="TimesNewRomanPSMT" w:hAnsi="TimesNewRomanPSMT"/>
          <w:i/>
          <w:iCs/>
        </w:rPr>
        <w:t xml:space="preserve">clusters </w:t>
      </w:r>
      <w:r>
        <w:rPr>
          <w:rFonts w:ascii="TimesNewRomanPSMT" w:hAnsi="TimesNewRomanPSMT"/>
        </w:rPr>
        <w:t xml:space="preserve">terão o mesmo tamanho, mas encontra os </w:t>
      </w:r>
      <w:r w:rsidRPr="002359D5">
        <w:rPr>
          <w:rFonts w:ascii="TimesNewRomanPSMT" w:hAnsi="TimesNewRomanPSMT"/>
          <w:i/>
          <w:iCs/>
        </w:rPr>
        <w:t>clusters</w:t>
      </w:r>
      <w:r>
        <w:rPr>
          <w:rFonts w:ascii="TimesNewRomanPSMT" w:hAnsi="TimesNewRomanPSMT"/>
        </w:rPr>
        <w:t xml:space="preserve"> que estão </w:t>
      </w:r>
      <w:proofErr w:type="gramStart"/>
      <w:r>
        <w:rPr>
          <w:rFonts w:ascii="TimesNewRomanPSMT" w:hAnsi="TimesNewRomanPSMT"/>
        </w:rPr>
        <w:t>melhor</w:t>
      </w:r>
      <w:proofErr w:type="gramEnd"/>
      <w:r>
        <w:rPr>
          <w:rFonts w:ascii="TimesNewRomanPSMT" w:hAnsi="TimesNewRomanPSMT"/>
        </w:rPr>
        <w:t xml:space="preserve"> separados (BRUCE; BRUCE; GEDECK, 2020).</w:t>
      </w:r>
    </w:p>
    <w:p w14:paraId="4CFA6A41" w14:textId="77777777" w:rsidR="004C0F51" w:rsidRDefault="004C0F51" w:rsidP="004C0F51">
      <w:pPr>
        <w:spacing w:after="2" w:line="235" w:lineRule="auto"/>
        <w:ind w:left="-15" w:firstLine="706"/>
        <w:jc w:val="both"/>
        <w:rPr>
          <w:rFonts w:ascii="TimesNewRomanPSMT" w:hAnsi="TimesNewRomanPSMT"/>
          <w:color w:val="2A6099"/>
          <w:shd w:val="clear" w:color="auto" w:fill="FFFF00"/>
        </w:rPr>
      </w:pPr>
      <w:proofErr w:type="spellStart"/>
      <w:r>
        <w:rPr>
          <w:rFonts w:ascii="TimesNewRomanPSMT" w:hAnsi="TimesNewRomanPSMT"/>
        </w:rPr>
        <w:t>Kodinariya</w:t>
      </w:r>
      <w:proofErr w:type="spellEnd"/>
      <w:r>
        <w:rPr>
          <w:rFonts w:ascii="TimesNewRomanPSMT" w:hAnsi="TimesNewRomanPSMT"/>
        </w:rPr>
        <w:t xml:space="preserve"> e </w:t>
      </w:r>
      <w:proofErr w:type="spellStart"/>
      <w:r>
        <w:rPr>
          <w:rFonts w:ascii="TimesNewRomanPSMT" w:hAnsi="TimesNewRomanPSMT"/>
        </w:rPr>
        <w:t>Makwana</w:t>
      </w:r>
      <w:proofErr w:type="spellEnd"/>
      <w:r>
        <w:rPr>
          <w:rFonts w:ascii="TimesNewRomanPSMT" w:hAnsi="TimesNewRomanPSMT"/>
        </w:rPr>
        <w:t xml:space="preserve"> (2013) decompuseram o algoritmo nos seguintes passos: </w:t>
      </w:r>
    </w:p>
    <w:p w14:paraId="5285167D" w14:textId="646BEF48" w:rsidR="00E053EB" w:rsidRDefault="00E053EB" w:rsidP="00E053EB">
      <w:pPr>
        <w:pStyle w:val="PargrafodaLista"/>
        <w:numPr>
          <w:ilvl w:val="0"/>
          <w:numId w:val="3"/>
        </w:numPr>
        <w:spacing w:after="2" w:line="235" w:lineRule="auto"/>
        <w:ind w:left="1418" w:hanging="709"/>
        <w:jc w:val="both"/>
        <w:rPr>
          <w:rFonts w:ascii="TimesNewRomanPSMT" w:hAnsi="TimesNewRomanPSMT"/>
        </w:rPr>
      </w:pPr>
      <w:r>
        <w:rPr>
          <w:rFonts w:ascii="TimesNewRomanPSMT" w:hAnsi="TimesNewRomanPSMT"/>
        </w:rPr>
        <w:t>c</w:t>
      </w:r>
      <w:r w:rsidR="004C0F51" w:rsidRPr="001F278C">
        <w:rPr>
          <w:rFonts w:ascii="TimesNewRomanPSMT" w:hAnsi="TimesNewRomanPSMT"/>
        </w:rPr>
        <w:t xml:space="preserve">olocar “k” pontos no espaço representado pelos objetos que estão sendo agrupados. Esses pontos representam os </w:t>
      </w:r>
      <w:proofErr w:type="spellStart"/>
      <w:r w:rsidR="004C0F51" w:rsidRPr="001F278C">
        <w:rPr>
          <w:rFonts w:ascii="TimesNewRomanPSMT" w:hAnsi="TimesNewRomanPSMT"/>
        </w:rPr>
        <w:t>centróides</w:t>
      </w:r>
      <w:proofErr w:type="spellEnd"/>
      <w:r w:rsidR="004C0F51" w:rsidRPr="001F278C">
        <w:rPr>
          <w:rFonts w:ascii="TimesNewRomanPSMT" w:hAnsi="TimesNewRomanPSMT"/>
        </w:rPr>
        <w:t xml:space="preserve"> iniciais do grupo</w:t>
      </w:r>
      <w:r>
        <w:rPr>
          <w:rFonts w:ascii="TimesNewRomanPSMT" w:hAnsi="TimesNewRomanPSMT"/>
        </w:rPr>
        <w:t>;</w:t>
      </w:r>
    </w:p>
    <w:p w14:paraId="71BDC802" w14:textId="4E6F0355" w:rsidR="00E053EB" w:rsidRDefault="00E053EB" w:rsidP="00E053EB">
      <w:pPr>
        <w:pStyle w:val="PargrafodaLista"/>
        <w:numPr>
          <w:ilvl w:val="0"/>
          <w:numId w:val="3"/>
        </w:numPr>
        <w:spacing w:after="2" w:line="235" w:lineRule="auto"/>
        <w:ind w:left="1418" w:hanging="709"/>
        <w:jc w:val="both"/>
        <w:rPr>
          <w:rFonts w:ascii="TimesNewRomanPSMT" w:hAnsi="TimesNewRomanPSMT"/>
        </w:rPr>
      </w:pPr>
      <w:r>
        <w:rPr>
          <w:rFonts w:ascii="TimesNewRomanPSMT" w:hAnsi="TimesNewRomanPSMT"/>
        </w:rPr>
        <w:t>a</w:t>
      </w:r>
      <w:r w:rsidR="004C0F51" w:rsidRPr="00E053EB">
        <w:rPr>
          <w:rFonts w:ascii="TimesNewRomanPSMT" w:hAnsi="TimesNewRomanPSMT"/>
        </w:rPr>
        <w:t xml:space="preserve">tribuir cada objeto ao grupo que possui o </w:t>
      </w:r>
      <w:proofErr w:type="spellStart"/>
      <w:r w:rsidR="004C0F51" w:rsidRPr="00E053EB">
        <w:rPr>
          <w:rFonts w:ascii="TimesNewRomanPSMT" w:hAnsi="TimesNewRomanPSMT"/>
        </w:rPr>
        <w:t>centróide</w:t>
      </w:r>
      <w:proofErr w:type="spellEnd"/>
      <w:r w:rsidR="004C0F51" w:rsidRPr="00E053EB">
        <w:rPr>
          <w:rFonts w:ascii="TimesNewRomanPSMT" w:hAnsi="TimesNewRomanPSMT"/>
        </w:rPr>
        <w:t xml:space="preserve"> mais próximo</w:t>
      </w:r>
      <w:r>
        <w:rPr>
          <w:rFonts w:ascii="TimesNewRomanPSMT" w:hAnsi="TimesNewRomanPSMT"/>
        </w:rPr>
        <w:t>;</w:t>
      </w:r>
    </w:p>
    <w:p w14:paraId="71251376" w14:textId="43F10A6D" w:rsidR="00E053EB" w:rsidRDefault="00E053EB" w:rsidP="00E053EB">
      <w:pPr>
        <w:pStyle w:val="PargrafodaLista"/>
        <w:numPr>
          <w:ilvl w:val="0"/>
          <w:numId w:val="3"/>
        </w:numPr>
        <w:spacing w:after="2" w:line="235" w:lineRule="auto"/>
        <w:ind w:left="1418" w:hanging="709"/>
        <w:jc w:val="both"/>
        <w:rPr>
          <w:rFonts w:ascii="TimesNewRomanPSMT" w:hAnsi="TimesNewRomanPSMT"/>
        </w:rPr>
      </w:pPr>
      <w:r>
        <w:rPr>
          <w:rFonts w:ascii="TimesNewRomanPSMT" w:hAnsi="TimesNewRomanPSMT"/>
        </w:rPr>
        <w:t>q</w:t>
      </w:r>
      <w:r w:rsidR="004C0F51" w:rsidRPr="00E053EB">
        <w:rPr>
          <w:rFonts w:ascii="TimesNewRomanPSMT" w:hAnsi="TimesNewRomanPSMT"/>
        </w:rPr>
        <w:t xml:space="preserve">uando todos os objetos tiverem sido atribuídos, recalcular as posições dos “k” </w:t>
      </w:r>
      <w:r>
        <w:rPr>
          <w:rFonts w:ascii="TimesNewRomanPSMT" w:hAnsi="TimesNewRomanPSMT"/>
        </w:rPr>
        <w:t>centroides; e</w:t>
      </w:r>
    </w:p>
    <w:p w14:paraId="49ABAAF6" w14:textId="3074FD24" w:rsidR="004C0F51" w:rsidRPr="003F4EBE" w:rsidRDefault="00E053EB" w:rsidP="003F4EBE">
      <w:pPr>
        <w:pStyle w:val="PargrafodaLista"/>
        <w:numPr>
          <w:ilvl w:val="0"/>
          <w:numId w:val="3"/>
        </w:numPr>
        <w:spacing w:after="2" w:line="235" w:lineRule="auto"/>
        <w:ind w:left="1418" w:hanging="709"/>
        <w:jc w:val="both"/>
        <w:rPr>
          <w:rFonts w:ascii="TimesNewRomanPSMT" w:hAnsi="TimesNewRomanPSMT"/>
        </w:rPr>
      </w:pPr>
      <w:r>
        <w:rPr>
          <w:rFonts w:ascii="TimesNewRomanPSMT" w:hAnsi="TimesNewRomanPSMT"/>
        </w:rPr>
        <w:t>r</w:t>
      </w:r>
      <w:r w:rsidR="004C0F51" w:rsidRPr="00E053EB">
        <w:rPr>
          <w:rFonts w:ascii="TimesNewRomanPSMT" w:hAnsi="TimesNewRomanPSMT"/>
        </w:rPr>
        <w:t>epetir os passos 2 e 3 até que os centróides não se movam mais.</w:t>
      </w:r>
    </w:p>
    <w:p w14:paraId="541B2EDE" w14:textId="77777777" w:rsidR="003F4EBE" w:rsidRDefault="004C0F51" w:rsidP="004C0F51">
      <w:pPr>
        <w:pStyle w:val="Ttulo1"/>
        <w:spacing w:after="0" w:line="240" w:lineRule="auto"/>
        <w:ind w:left="-5"/>
        <w:rPr>
          <w:lang w:val="pt-BR"/>
        </w:rPr>
      </w:pPr>
      <w:r>
        <w:rPr>
          <w:lang w:val="pt-BR"/>
        </w:rPr>
        <w:lastRenderedPageBreak/>
        <w:t>3. METODOLOGIA</w:t>
      </w:r>
    </w:p>
    <w:p w14:paraId="59CA6EF1" w14:textId="13202AEB" w:rsidR="004C0F51" w:rsidRDefault="004C0F51" w:rsidP="004C0F51">
      <w:pPr>
        <w:pStyle w:val="Ttulo1"/>
        <w:spacing w:after="0" w:line="240" w:lineRule="auto"/>
        <w:ind w:left="-5"/>
        <w:rPr>
          <w:lang w:val="pt-BR"/>
        </w:rPr>
      </w:pPr>
      <w:r>
        <w:rPr>
          <w:lang w:val="pt-BR"/>
        </w:rPr>
        <w:t xml:space="preserve"> </w:t>
      </w:r>
    </w:p>
    <w:p w14:paraId="439B234D" w14:textId="77777777" w:rsidR="003F4EBE" w:rsidRDefault="004C0F51" w:rsidP="004C0F51">
      <w:pPr>
        <w:pStyle w:val="Ttulo2"/>
        <w:ind w:left="-5"/>
        <w:rPr>
          <w:rFonts w:ascii="Times New Roman" w:hAnsi="Times New Roman" w:cs="Times New Roman"/>
          <w:bCs/>
          <w:color w:val="auto"/>
          <w:sz w:val="24"/>
          <w:szCs w:val="24"/>
        </w:rPr>
      </w:pPr>
      <w:r w:rsidRPr="007E47E2">
        <w:rPr>
          <w:rFonts w:ascii="Times New Roman" w:hAnsi="Times New Roman" w:cs="Times New Roman"/>
          <w:bCs/>
          <w:color w:val="auto"/>
          <w:sz w:val="24"/>
          <w:szCs w:val="24"/>
        </w:rPr>
        <w:t>3.1 TIPO DA PESQUISA</w:t>
      </w:r>
    </w:p>
    <w:p w14:paraId="460EE9A5" w14:textId="31E1EF03" w:rsidR="004C0F51" w:rsidRPr="007E47E2" w:rsidRDefault="004C0F51" w:rsidP="004C0F51">
      <w:pPr>
        <w:pStyle w:val="Ttulo2"/>
        <w:ind w:left="-5"/>
        <w:rPr>
          <w:rFonts w:ascii="Times New Roman" w:hAnsi="Times New Roman" w:cs="Times New Roman"/>
          <w:b/>
          <w:bCs/>
          <w:color w:val="auto"/>
          <w:sz w:val="24"/>
          <w:szCs w:val="24"/>
        </w:rPr>
      </w:pPr>
      <w:r w:rsidRPr="007E47E2">
        <w:rPr>
          <w:rFonts w:ascii="Times New Roman" w:hAnsi="Times New Roman" w:cs="Times New Roman"/>
          <w:bCs/>
          <w:color w:val="auto"/>
          <w:sz w:val="24"/>
          <w:szCs w:val="24"/>
        </w:rPr>
        <w:t xml:space="preserve"> </w:t>
      </w:r>
    </w:p>
    <w:p w14:paraId="45262D77" w14:textId="77777777" w:rsidR="004C0F51" w:rsidRDefault="004C0F51" w:rsidP="004C0F51">
      <w:pPr>
        <w:ind w:firstLine="720"/>
        <w:jc w:val="both"/>
      </w:pPr>
      <w:r>
        <w:t xml:space="preserve">Para a classificação da pesquisa, será adotada a taxinomia proposta por </w:t>
      </w:r>
      <w:proofErr w:type="spellStart"/>
      <w:r>
        <w:t>Prodanov</w:t>
      </w:r>
      <w:proofErr w:type="spellEnd"/>
      <w:r>
        <w:t xml:space="preserve"> e Freitas (2013), que qualifica os estudos em relação a 4 (quatro) vertentes: natureza; objetivos; procedimentos técnicos; e forma de abordagem do problema. </w:t>
      </w:r>
    </w:p>
    <w:p w14:paraId="64AB15DB" w14:textId="77777777" w:rsidR="004C0F51" w:rsidRDefault="004C0F51" w:rsidP="004C0F51">
      <w:pPr>
        <w:ind w:left="-15" w:firstLine="735"/>
        <w:jc w:val="both"/>
      </w:pPr>
      <w:r>
        <w:t xml:space="preserve">Quanto à natureza: aplicada, pois objetiva gerar conhecimentos para aplicação prática voltados a identificar os pontos de interesse nas auditorias de pagamento de pessoal. </w:t>
      </w:r>
    </w:p>
    <w:p w14:paraId="1272546B" w14:textId="6A2E1DFA" w:rsidR="004C0F51" w:rsidRDefault="004C0F51" w:rsidP="004C0F51">
      <w:pPr>
        <w:ind w:left="-15" w:firstLine="735"/>
        <w:jc w:val="both"/>
      </w:pPr>
      <w:r>
        <w:t xml:space="preserve">No que tange aos objetivos: descritiva, </w:t>
      </w:r>
      <w:r w:rsidR="002A5A84">
        <w:t>já que</w:t>
      </w:r>
      <w:r>
        <w:t xml:space="preserve"> visa estabelecer relações entre variáveis, </w:t>
      </w:r>
      <w:r w:rsidR="00F03ABD">
        <w:t>porque</w:t>
      </w:r>
      <w:r>
        <w:t xml:space="preserve"> se pretende classificar os dados de pagamento de pessoal</w:t>
      </w:r>
      <w:r>
        <w:rPr>
          <w:color w:val="FF0000"/>
        </w:rPr>
        <w:t xml:space="preserve"> </w:t>
      </w:r>
      <w:r>
        <w:t>em grupos por meio da ACP e identificar como tal técnica estatística pode contribuir para mitigar os riscos de detecção de auditoria de pagamento de pessoal, por ocasião da seleção de processos de pagamento a serem auditados.</w:t>
      </w:r>
    </w:p>
    <w:p w14:paraId="471D48E3" w14:textId="09047B28" w:rsidR="004C0F51" w:rsidRDefault="004C0F51" w:rsidP="004C0F51">
      <w:pPr>
        <w:ind w:left="142" w:firstLine="578"/>
        <w:jc w:val="both"/>
      </w:pPr>
      <w:r>
        <w:t xml:space="preserve">Passando-se aos procedimentos técnicos, a pesquisa é documental, </w:t>
      </w:r>
      <w:r w:rsidR="0084398D">
        <w:t>tendo em vista que</w:t>
      </w:r>
      <w:r>
        <w:t xml:space="preserve"> se baseia em materiais - relatórios de pagamento da Pagadoria de Pessoal da Marinha (PAPEM) - que ainda não receberam tratamento analítico ou que podem ser reelaborados de acordo com os objetivos da pesquisa. Quanto à classificação dos documentos: tais relatórios são classificados como documentos de primeira mão, </w:t>
      </w:r>
      <w:r w:rsidR="00BD481E">
        <w:t xml:space="preserve">dado que </w:t>
      </w:r>
      <w:r>
        <w:t>não receberam qualquer tratamento analítico (GIL, 2008). A pesquisa também é bibliográfica, p</w:t>
      </w:r>
      <w:r w:rsidR="00575BE2">
        <w:t xml:space="preserve">orquanto </w:t>
      </w:r>
      <w:r>
        <w:t xml:space="preserve">utilizaram-se materiais já publicados, tais como livros, normas, periódicos e artigos científicos atinentes aos temas: i) auditoria governamental; </w:t>
      </w:r>
      <w:proofErr w:type="spellStart"/>
      <w:r>
        <w:t>ii</w:t>
      </w:r>
      <w:proofErr w:type="spellEnd"/>
      <w:r>
        <w:t xml:space="preserve">) seleção de itens de auditoria; </w:t>
      </w:r>
      <w:proofErr w:type="spellStart"/>
      <w:r>
        <w:t>iii</w:t>
      </w:r>
      <w:proofErr w:type="spellEnd"/>
      <w:r>
        <w:t xml:space="preserve">) Análise de Componentes Principais (ACP); e </w:t>
      </w:r>
      <w:proofErr w:type="spellStart"/>
      <w:r>
        <w:t>iv</w:t>
      </w:r>
      <w:proofErr w:type="spellEnd"/>
      <w:r>
        <w:t xml:space="preserve">) </w:t>
      </w:r>
      <w:proofErr w:type="spellStart"/>
      <w:r>
        <w:t>clusterizacão</w:t>
      </w:r>
      <w:proofErr w:type="spellEnd"/>
      <w:r>
        <w:t xml:space="preserve">. </w:t>
      </w:r>
    </w:p>
    <w:p w14:paraId="49821943" w14:textId="7FE2AFC8" w:rsidR="004C0F51" w:rsidRDefault="004C0F51" w:rsidP="004C0F51">
      <w:pPr>
        <w:ind w:left="-15" w:firstLine="735"/>
        <w:jc w:val="both"/>
      </w:pPr>
      <w:r>
        <w:t>Como último quesito da classificação de pesqui</w:t>
      </w:r>
      <w:r>
        <w:rPr>
          <w:color w:val="000000" w:themeColor="text1"/>
        </w:rPr>
        <w:t xml:space="preserve">sa, </w:t>
      </w:r>
      <w:r>
        <w:t xml:space="preserve">proposta por </w:t>
      </w:r>
      <w:proofErr w:type="spellStart"/>
      <w:r>
        <w:t>Prodanov</w:t>
      </w:r>
      <w:proofErr w:type="spellEnd"/>
      <w:r>
        <w:t xml:space="preserve"> e Freitas (2013), a forma de abordagem do problema desta pesquisa é de base quantitativa, </w:t>
      </w:r>
      <w:r w:rsidR="00007CA0">
        <w:t>porque</w:t>
      </w:r>
      <w:r>
        <w:t xml:space="preserve"> objetiva generalizar os resultados a outros contextos, com neutralização das variáveis de tempo e contexto (MOTTA-ROTH; HENDGENS, 2010), a fim de que haja uma evidenciação dos principais focos de interesse nas auditorias de pagamento da Marinha do Brasil. </w:t>
      </w:r>
    </w:p>
    <w:p w14:paraId="1F0FEF4A" w14:textId="77777777" w:rsidR="004C0F51" w:rsidRDefault="004C0F51" w:rsidP="004C0F51">
      <w:r>
        <w:t xml:space="preserve"> </w:t>
      </w:r>
    </w:p>
    <w:p w14:paraId="415BBC74" w14:textId="78BAF49B" w:rsidR="004C0F51" w:rsidRDefault="004C0F51" w:rsidP="004C0F51">
      <w:pPr>
        <w:pStyle w:val="Ttulo2"/>
        <w:ind w:left="-5"/>
        <w:rPr>
          <w:rFonts w:ascii="Times New Roman" w:hAnsi="Times New Roman" w:cs="Times New Roman"/>
          <w:bCs/>
          <w:color w:val="auto"/>
          <w:sz w:val="24"/>
          <w:szCs w:val="24"/>
        </w:rPr>
      </w:pPr>
      <w:r w:rsidRPr="007E47E2">
        <w:rPr>
          <w:rFonts w:ascii="Times New Roman" w:hAnsi="Times New Roman" w:cs="Times New Roman"/>
          <w:bCs/>
          <w:color w:val="auto"/>
          <w:sz w:val="24"/>
          <w:szCs w:val="24"/>
        </w:rPr>
        <w:t>3.2 COLETA E PROCESSAMENTO DE DADOS</w:t>
      </w:r>
    </w:p>
    <w:p w14:paraId="3746C962" w14:textId="77777777" w:rsidR="00AD2346" w:rsidRPr="00AD2346" w:rsidRDefault="00AD2346" w:rsidP="00AD2346"/>
    <w:p w14:paraId="77598E6C" w14:textId="761575F1" w:rsidR="004C0F51" w:rsidRDefault="00FC3674" w:rsidP="004C0F51">
      <w:pPr>
        <w:pStyle w:val="NormalWeb"/>
        <w:spacing w:beforeAutospacing="0" w:after="3" w:afterAutospacing="0"/>
        <w:ind w:right="17" w:firstLine="720"/>
        <w:jc w:val="both"/>
        <w:rPr>
          <w:color w:val="000000"/>
        </w:rPr>
      </w:pPr>
      <w:r>
        <w:rPr>
          <w:color w:val="000000"/>
        </w:rPr>
        <w:t>Como primeiro passo</w:t>
      </w:r>
      <w:r w:rsidR="004C0F51">
        <w:rPr>
          <w:color w:val="000000"/>
        </w:rPr>
        <w:t>, procedeu-se a uma pesquisa bibliográfica e documental com a finalidade de aprofundar os conhecimentos acerca de auditoria e, também, de utilização de técnicas estatísticas neste nicho de conhecimento.</w:t>
      </w:r>
    </w:p>
    <w:p w14:paraId="41B9AEBC" w14:textId="77777777" w:rsidR="004C0F51" w:rsidRDefault="004C0F51" w:rsidP="004C0F51">
      <w:pPr>
        <w:ind w:firstLine="720"/>
        <w:jc w:val="both"/>
        <w:rPr>
          <w:color w:val="000000"/>
        </w:rPr>
      </w:pPr>
      <w:r>
        <w:rPr>
          <w:color w:val="000000"/>
        </w:rPr>
        <w:t>Em seguida, foram delimitados os parâmetros de pesquisa, que compreendem: a fonte para coleta dos dados; o espaço temporal dos dados a serem utilizados; e o universo da pesquisa. </w:t>
      </w:r>
    </w:p>
    <w:p w14:paraId="0B71328C" w14:textId="43C3B1AF" w:rsidR="004C0F51" w:rsidRDefault="004C0F51" w:rsidP="004C0F51">
      <w:pPr>
        <w:ind w:left="-5" w:firstLine="725"/>
        <w:jc w:val="both"/>
        <w:rPr>
          <w:color w:val="000000"/>
        </w:rPr>
      </w:pPr>
      <w:r>
        <w:rPr>
          <w:color w:val="000000"/>
        </w:rPr>
        <w:t>Para se angariar os dados, utilizou-se de relatórios de pagamento de pessoal gerados pelo Sistema de Pagamento da Marinha (SISPAG-2)</w:t>
      </w:r>
      <w:r w:rsidRPr="00EE4413">
        <w:rPr>
          <w:color w:val="000000"/>
        </w:rPr>
        <w:t>,</w:t>
      </w:r>
      <w:r>
        <w:rPr>
          <w:color w:val="000000"/>
        </w:rPr>
        <w:t xml:space="preserve"> </w:t>
      </w:r>
      <w:r w:rsidRPr="00EE4413">
        <w:rPr>
          <w:color w:val="000000"/>
        </w:rPr>
        <w:t xml:space="preserve">com </w:t>
      </w:r>
      <w:r>
        <w:rPr>
          <w:color w:val="000000"/>
        </w:rPr>
        <w:t xml:space="preserve">todos os militares da Marinha do Brasil, incluindo os da reserva remunerada e reformados, no período compreendido de 2018 a 2021. </w:t>
      </w:r>
      <w:r w:rsidR="009F09B9">
        <w:rPr>
          <w:color w:val="000000"/>
        </w:rPr>
        <w:t xml:space="preserve">É válido mencionar que os dados </w:t>
      </w:r>
      <w:r w:rsidR="003C74E4">
        <w:rPr>
          <w:color w:val="000000"/>
        </w:rPr>
        <w:t xml:space="preserve">utilizados </w:t>
      </w:r>
      <w:r w:rsidR="009F09B9">
        <w:rPr>
          <w:color w:val="000000"/>
        </w:rPr>
        <w:t xml:space="preserve">não contêm informações </w:t>
      </w:r>
      <w:r w:rsidR="005A47F1">
        <w:rPr>
          <w:color w:val="000000"/>
        </w:rPr>
        <w:t xml:space="preserve">de cunho pessoal, </w:t>
      </w:r>
      <w:r w:rsidR="009F09B9">
        <w:rPr>
          <w:color w:val="000000"/>
        </w:rPr>
        <w:t>que po</w:t>
      </w:r>
      <w:r w:rsidR="005A47F1">
        <w:rPr>
          <w:color w:val="000000"/>
        </w:rPr>
        <w:t>deriam</w:t>
      </w:r>
      <w:r w:rsidR="009F09B9">
        <w:rPr>
          <w:color w:val="000000"/>
        </w:rPr>
        <w:t xml:space="preserve"> identificar as pessoas portadoras dos bilhetes de pagamento</w:t>
      </w:r>
      <w:r w:rsidR="003C74E4">
        <w:rPr>
          <w:color w:val="000000"/>
        </w:rPr>
        <w:t>.</w:t>
      </w:r>
    </w:p>
    <w:p w14:paraId="10ACECF2" w14:textId="4C28E0CB" w:rsidR="004C0F51" w:rsidRDefault="004C0F51" w:rsidP="004C0F51">
      <w:pPr>
        <w:ind w:firstLine="720"/>
        <w:jc w:val="both"/>
        <w:rPr>
          <w:color w:val="000000"/>
        </w:rPr>
      </w:pPr>
      <w:r>
        <w:rPr>
          <w:color w:val="000000"/>
        </w:rPr>
        <w:t xml:space="preserve">Para tratamento e processamento dos dados foi utilizado o </w:t>
      </w:r>
      <w:r>
        <w:rPr>
          <w:i/>
          <w:iCs/>
          <w:color w:val="000000"/>
        </w:rPr>
        <w:t xml:space="preserve">Google </w:t>
      </w:r>
      <w:proofErr w:type="spellStart"/>
      <w:r>
        <w:rPr>
          <w:i/>
          <w:iCs/>
          <w:color w:val="000000"/>
        </w:rPr>
        <w:t>Colab</w:t>
      </w:r>
      <w:proofErr w:type="spellEnd"/>
      <w:r>
        <w:rPr>
          <w:i/>
          <w:iCs/>
          <w:color w:val="000000"/>
        </w:rPr>
        <w:t xml:space="preserve">, </w:t>
      </w:r>
      <w:r>
        <w:rPr>
          <w:color w:val="000000"/>
        </w:rPr>
        <w:t xml:space="preserve">que é um serviço de nuvem gratuito hospedado </w:t>
      </w:r>
      <w:r w:rsidR="006337CF">
        <w:rPr>
          <w:color w:val="000000"/>
        </w:rPr>
        <w:t>pela empresa</w:t>
      </w:r>
      <w:r>
        <w:rPr>
          <w:color w:val="000000"/>
        </w:rPr>
        <w:t xml:space="preserve"> Google que disponibiliza um ambiente de execução do </w:t>
      </w:r>
      <w:proofErr w:type="spellStart"/>
      <w:r>
        <w:rPr>
          <w:i/>
          <w:iCs/>
          <w:color w:val="000000"/>
        </w:rPr>
        <w:t>IPython</w:t>
      </w:r>
      <w:proofErr w:type="spellEnd"/>
      <w:r>
        <w:rPr>
          <w:color w:val="000000"/>
        </w:rPr>
        <w:t xml:space="preserve">, uma variação da linguagem de programação </w:t>
      </w:r>
      <w:r>
        <w:rPr>
          <w:i/>
          <w:iCs/>
          <w:color w:val="000000"/>
        </w:rPr>
        <w:t>Python</w:t>
      </w:r>
      <w:r>
        <w:rPr>
          <w:color w:val="000000"/>
        </w:rPr>
        <w:t xml:space="preserve"> estruturada em forma de </w:t>
      </w:r>
      <w:r>
        <w:rPr>
          <w:i/>
          <w:iCs/>
          <w:color w:val="000000"/>
        </w:rPr>
        <w:t>Notebooks</w:t>
      </w:r>
      <w:r>
        <w:rPr>
          <w:color w:val="000000"/>
        </w:rPr>
        <w:t xml:space="preserve"> interativos. Com o fito de fornecer ferramentas que permitem manipulação e análise de dados, de maneira simples e eficiente, conferindo alta performance aos códigos, utilizaram-se as bibliotecas de </w:t>
      </w:r>
      <w:r>
        <w:rPr>
          <w:i/>
          <w:iCs/>
          <w:color w:val="000000"/>
        </w:rPr>
        <w:t xml:space="preserve">software </w:t>
      </w:r>
      <w:r>
        <w:rPr>
          <w:color w:val="000000"/>
        </w:rPr>
        <w:t>compatíve</w:t>
      </w:r>
      <w:r w:rsidRPr="009631E7">
        <w:rPr>
          <w:color w:val="000000"/>
        </w:rPr>
        <w:t>is</w:t>
      </w:r>
      <w:r>
        <w:rPr>
          <w:color w:val="000000"/>
        </w:rPr>
        <w:t xml:space="preserve"> com a linguagem de </w:t>
      </w:r>
      <w:r w:rsidRPr="00F60196">
        <w:rPr>
          <w:color w:val="000000"/>
        </w:rPr>
        <w:t xml:space="preserve">programação </w:t>
      </w:r>
      <w:r w:rsidRPr="00F60196">
        <w:rPr>
          <w:i/>
          <w:iCs/>
          <w:color w:val="000000"/>
        </w:rPr>
        <w:t>Python</w:t>
      </w:r>
      <w:r w:rsidR="00F60196" w:rsidRPr="00F60196">
        <w:rPr>
          <w:color w:val="000000"/>
        </w:rPr>
        <w:t>:</w:t>
      </w:r>
      <w:r w:rsidRPr="00F60196">
        <w:rPr>
          <w:color w:val="000000"/>
        </w:rPr>
        <w:t xml:space="preserve"> </w:t>
      </w:r>
      <w:r w:rsidRPr="00F60196">
        <w:rPr>
          <w:i/>
          <w:iCs/>
          <w:color w:val="000000"/>
        </w:rPr>
        <w:t xml:space="preserve">Pandas, </w:t>
      </w:r>
      <w:proofErr w:type="spellStart"/>
      <w:r w:rsidRPr="00F60196">
        <w:rPr>
          <w:i/>
          <w:iCs/>
          <w:color w:val="000000"/>
        </w:rPr>
        <w:t>Numpy</w:t>
      </w:r>
      <w:proofErr w:type="spellEnd"/>
      <w:r w:rsidRPr="00F60196">
        <w:rPr>
          <w:i/>
          <w:iCs/>
          <w:color w:val="000000"/>
        </w:rPr>
        <w:t xml:space="preserve"> </w:t>
      </w:r>
      <w:r w:rsidRPr="00F60196">
        <w:rPr>
          <w:color w:val="000000"/>
        </w:rPr>
        <w:t xml:space="preserve">e </w:t>
      </w:r>
      <w:proofErr w:type="spellStart"/>
      <w:r w:rsidRPr="00F60196">
        <w:rPr>
          <w:i/>
          <w:iCs/>
          <w:color w:val="000000"/>
        </w:rPr>
        <w:t>Scikit-learn</w:t>
      </w:r>
      <w:proofErr w:type="spellEnd"/>
      <w:r w:rsidRPr="00F60196">
        <w:rPr>
          <w:color w:val="000000"/>
        </w:rPr>
        <w:t>.</w:t>
      </w:r>
      <w:r>
        <w:rPr>
          <w:color w:val="000000"/>
        </w:rPr>
        <w:t> </w:t>
      </w:r>
    </w:p>
    <w:p w14:paraId="550AA959" w14:textId="452936AA" w:rsidR="004C0F51" w:rsidRDefault="004C0F51" w:rsidP="004C0F51">
      <w:pPr>
        <w:ind w:firstLine="720"/>
        <w:jc w:val="both"/>
        <w:rPr>
          <w:color w:val="000000"/>
        </w:rPr>
      </w:pPr>
      <w:r>
        <w:rPr>
          <w:color w:val="000000"/>
        </w:rPr>
        <w:lastRenderedPageBreak/>
        <w:t>Com o intuito de se importar os relatórios, estes foram convertidos do formato XLSX</w:t>
      </w:r>
      <w:r>
        <w:rPr>
          <w:i/>
          <w:iCs/>
          <w:color w:val="000000"/>
        </w:rPr>
        <w:t xml:space="preserve"> </w:t>
      </w:r>
      <w:r>
        <w:rPr>
          <w:color w:val="000000"/>
        </w:rPr>
        <w:t xml:space="preserve">para CSV, a fim de que a importação dos arquivos fosse feita de maneira mais célere. Faz-se pertinente, neste momento, uma conceituação básica de alguns conceitos acerca de pagamento de pessoal da MB para que haja perfeito entendimento. </w:t>
      </w:r>
    </w:p>
    <w:p w14:paraId="150FA655" w14:textId="28300091" w:rsidR="004C0F51" w:rsidRPr="00894944" w:rsidRDefault="004C0F51" w:rsidP="004C0F51">
      <w:pPr>
        <w:ind w:firstLine="720"/>
        <w:jc w:val="both"/>
        <w:rPr>
          <w:i/>
          <w:iCs/>
          <w:color w:val="000000"/>
        </w:rPr>
      </w:pPr>
      <w:r>
        <w:rPr>
          <w:color w:val="000000"/>
        </w:rPr>
        <w:t>Por soldo, entende-se o valor básico do salário atribuído ao militar conforme seu posto (no caso de oficial) ou graduação (no caso de praça). Por remuneração básica, entende-se o soldo acrescido dos adicionais militar, de habilitação e de compensação por disponibilidade militar. Por rubrica, entende-se cada parcela do pagamento, seja a receber ou a descontar. São exemplos de rubrica: soldo, adicional militar, adicional de habilitação, adicional de férias, pensão militar, imposto de renda, contribuição ao Fundo de Saúde da Marinha (FUSMA), entre outras. Por alteração de pagamento</w:t>
      </w:r>
      <w:r w:rsidR="003E6883">
        <w:rPr>
          <w:color w:val="000000"/>
        </w:rPr>
        <w:t>,</w:t>
      </w:r>
      <w:r>
        <w:rPr>
          <w:color w:val="000000"/>
        </w:rPr>
        <w:t xml:space="preserve"> compreende-se que houve uma mudança (a maior ou a menor) ou inserção de determinada rubrica em determinado processo. Exemplos usuais de alterações de pagamento são mudanças nos valores do soldo, dos adicionais remuneratórios, da pensão militar, da contribuição ao FUSMA e da pensão militar oriundas de uma promoção (quando o militar é alçado a um posto/graduação superior). Por Organização Centralizadora (OC), entende-se uma organização militar que efetua os comandos de pagamento de outras organizações no SISPAG-2. Por processo ou processo mensal, entende-se o mês atrelado a um ano ao qual se refere o pagamento, tal como: JAN/2022 ou 01/2022.</w:t>
      </w:r>
    </w:p>
    <w:p w14:paraId="3B3ACF14" w14:textId="28CF375B" w:rsidR="009F715D" w:rsidRDefault="004C0F51" w:rsidP="009F715D">
      <w:pPr>
        <w:ind w:firstLine="720"/>
        <w:jc w:val="both"/>
        <w:rPr>
          <w:b/>
          <w:bCs/>
        </w:rPr>
      </w:pPr>
      <w:r>
        <w:rPr>
          <w:color w:val="000000"/>
        </w:rPr>
        <w:t xml:space="preserve">Os arquivos importados e seus conteúdos são sintetizados na </w:t>
      </w:r>
      <w:r w:rsidR="00A63C02">
        <w:rPr>
          <w:color w:val="000000"/>
        </w:rPr>
        <w:t>t</w:t>
      </w:r>
      <w:r>
        <w:rPr>
          <w:color w:val="000000"/>
        </w:rPr>
        <w:t xml:space="preserve">abela </w:t>
      </w:r>
      <w:r w:rsidR="002C73F8">
        <w:rPr>
          <w:color w:val="000000"/>
        </w:rPr>
        <w:t>a</w:t>
      </w:r>
      <w:r w:rsidR="002B3285">
        <w:rPr>
          <w:color w:val="000000"/>
        </w:rPr>
        <w:t>baixo</w:t>
      </w:r>
      <w:r>
        <w:rPr>
          <w:color w:val="000000"/>
        </w:rPr>
        <w:t>:</w:t>
      </w:r>
      <w:r>
        <w:rPr>
          <w:b/>
          <w:bCs/>
        </w:rPr>
        <w:t xml:space="preserve"> </w:t>
      </w:r>
    </w:p>
    <w:p w14:paraId="64AF13E0" w14:textId="77777777" w:rsidR="00AB31C7" w:rsidRDefault="00AB31C7" w:rsidP="004C0F51">
      <w:pPr>
        <w:rPr>
          <w:b/>
          <w:bCs/>
          <w:color w:val="000000"/>
          <w:sz w:val="20"/>
          <w:szCs w:val="20"/>
        </w:rPr>
      </w:pPr>
    </w:p>
    <w:tbl>
      <w:tblPr>
        <w:tblpPr w:leftFromText="141" w:rightFromText="141" w:vertAnchor="text" w:horzAnchor="margin" w:tblpY="270"/>
        <w:tblW w:w="8789" w:type="dxa"/>
        <w:tblLayout w:type="fixed"/>
        <w:tblCellMar>
          <w:top w:w="100" w:type="dxa"/>
          <w:left w:w="100" w:type="dxa"/>
          <w:bottom w:w="100" w:type="dxa"/>
          <w:right w:w="100" w:type="dxa"/>
        </w:tblCellMar>
        <w:tblLook w:val="04A0" w:firstRow="1" w:lastRow="0" w:firstColumn="1" w:lastColumn="0" w:noHBand="0" w:noVBand="1"/>
      </w:tblPr>
      <w:tblGrid>
        <w:gridCol w:w="3402"/>
        <w:gridCol w:w="5387"/>
      </w:tblGrid>
      <w:tr w:rsidR="00AB31C7" w14:paraId="0A9CA5FA" w14:textId="77777777" w:rsidTr="00AB31C7">
        <w:tc>
          <w:tcPr>
            <w:tcW w:w="3402" w:type="dxa"/>
            <w:tcBorders>
              <w:top w:val="single" w:sz="8" w:space="0" w:color="000000"/>
              <w:bottom w:val="single" w:sz="8" w:space="0" w:color="000000"/>
            </w:tcBorders>
            <w:shd w:val="clear" w:color="auto" w:fill="D0CECE" w:themeFill="background2" w:themeFillShade="E6"/>
          </w:tcPr>
          <w:p w14:paraId="6DFA1102" w14:textId="77777777" w:rsidR="00AB31C7" w:rsidRDefault="00AB31C7" w:rsidP="00AB31C7">
            <w:pPr>
              <w:widowControl w:val="0"/>
              <w:jc w:val="center"/>
              <w:rPr>
                <w:b/>
                <w:bCs/>
              </w:rPr>
            </w:pPr>
            <w:r>
              <w:rPr>
                <w:b/>
                <w:bCs/>
                <w:color w:val="000000"/>
              </w:rPr>
              <w:t>PLANILHA</w:t>
            </w:r>
          </w:p>
        </w:tc>
        <w:tc>
          <w:tcPr>
            <w:tcW w:w="5387" w:type="dxa"/>
            <w:tcBorders>
              <w:top w:val="single" w:sz="8" w:space="0" w:color="000000"/>
              <w:left w:val="nil"/>
              <w:bottom w:val="single" w:sz="8" w:space="0" w:color="000000"/>
            </w:tcBorders>
            <w:shd w:val="clear" w:color="auto" w:fill="D0CECE" w:themeFill="background2" w:themeFillShade="E6"/>
          </w:tcPr>
          <w:p w14:paraId="2D6B5B5C" w14:textId="77777777" w:rsidR="00AB31C7" w:rsidRDefault="00AB31C7" w:rsidP="00AB31C7">
            <w:pPr>
              <w:widowControl w:val="0"/>
              <w:jc w:val="center"/>
              <w:rPr>
                <w:b/>
                <w:bCs/>
              </w:rPr>
            </w:pPr>
            <w:r>
              <w:rPr>
                <w:b/>
                <w:bCs/>
                <w:color w:val="000000"/>
              </w:rPr>
              <w:t>DADOS CONTIDOS</w:t>
            </w:r>
          </w:p>
        </w:tc>
      </w:tr>
      <w:tr w:rsidR="00AB31C7" w14:paraId="6AD6ADA7" w14:textId="77777777" w:rsidTr="00AD2346">
        <w:trPr>
          <w:trHeight w:hRule="exact" w:val="454"/>
        </w:trPr>
        <w:tc>
          <w:tcPr>
            <w:tcW w:w="3402" w:type="dxa"/>
            <w:tcBorders>
              <w:top w:val="single" w:sz="8" w:space="0" w:color="000000"/>
              <w:bottom w:val="single" w:sz="8" w:space="0" w:color="000000"/>
            </w:tcBorders>
          </w:tcPr>
          <w:p w14:paraId="36981B39" w14:textId="77777777" w:rsidR="00AB31C7" w:rsidRDefault="00AB31C7" w:rsidP="00AB31C7">
            <w:pPr>
              <w:pStyle w:val="NormalWeb"/>
              <w:widowControl w:val="0"/>
              <w:spacing w:beforeAutospacing="0" w:afterAutospacing="0"/>
              <w:jc w:val="center"/>
            </w:pPr>
            <w:r>
              <w:rPr>
                <w:color w:val="000000"/>
              </w:rPr>
              <w:t>Alterações de pagamento</w:t>
            </w:r>
          </w:p>
        </w:tc>
        <w:tc>
          <w:tcPr>
            <w:tcW w:w="5387" w:type="dxa"/>
            <w:tcBorders>
              <w:top w:val="single" w:sz="8" w:space="0" w:color="000000"/>
              <w:left w:val="nil"/>
              <w:bottom w:val="single" w:sz="8" w:space="0" w:color="000000"/>
            </w:tcBorders>
          </w:tcPr>
          <w:p w14:paraId="0459246A" w14:textId="77777777" w:rsidR="00AB31C7" w:rsidRDefault="00AB31C7" w:rsidP="00AB31C7">
            <w:pPr>
              <w:widowControl w:val="0"/>
              <w:jc w:val="both"/>
            </w:pPr>
            <w:r>
              <w:rPr>
                <w:color w:val="000000"/>
              </w:rPr>
              <w:t>Quantidade de alterações totais para todas as rubricas</w:t>
            </w:r>
            <w:r w:rsidRPr="00C92CE2">
              <w:rPr>
                <w:color w:val="000000"/>
              </w:rPr>
              <w:t xml:space="preserve">, </w:t>
            </w:r>
            <w:r>
              <w:rPr>
                <w:color w:val="000000"/>
              </w:rPr>
              <w:t>por processo mensal.</w:t>
            </w:r>
          </w:p>
        </w:tc>
      </w:tr>
      <w:tr w:rsidR="00AB31C7" w14:paraId="2D7DA754" w14:textId="77777777" w:rsidTr="00AB31C7">
        <w:tc>
          <w:tcPr>
            <w:tcW w:w="3402" w:type="dxa"/>
            <w:tcBorders>
              <w:top w:val="single" w:sz="8" w:space="0" w:color="000000"/>
              <w:bottom w:val="single" w:sz="8" w:space="0" w:color="000000"/>
            </w:tcBorders>
          </w:tcPr>
          <w:p w14:paraId="48D0D3E2" w14:textId="77777777" w:rsidR="00AB31C7" w:rsidRDefault="00AB31C7" w:rsidP="00AB31C7">
            <w:pPr>
              <w:widowControl w:val="0"/>
              <w:jc w:val="center"/>
            </w:pPr>
            <w:r>
              <w:rPr>
                <w:color w:val="000000"/>
              </w:rPr>
              <w:t>Valor bruto da folha por OM</w:t>
            </w:r>
          </w:p>
        </w:tc>
        <w:tc>
          <w:tcPr>
            <w:tcW w:w="5387" w:type="dxa"/>
            <w:tcBorders>
              <w:top w:val="single" w:sz="8" w:space="0" w:color="000000"/>
              <w:left w:val="nil"/>
              <w:bottom w:val="single" w:sz="8" w:space="0" w:color="000000"/>
            </w:tcBorders>
          </w:tcPr>
          <w:p w14:paraId="0E5D5474" w14:textId="77777777" w:rsidR="00AB31C7" w:rsidRPr="00C92CE2" w:rsidRDefault="00AB31C7" w:rsidP="00AB31C7">
            <w:pPr>
              <w:widowControl w:val="0"/>
              <w:jc w:val="both"/>
              <w:rPr>
                <w:color w:val="000000"/>
              </w:rPr>
            </w:pPr>
            <w:r>
              <w:rPr>
                <w:color w:val="000000"/>
              </w:rPr>
              <w:t xml:space="preserve">Valor bruto da folha por OM </w:t>
            </w:r>
            <w:r w:rsidRPr="00C92CE2">
              <w:rPr>
                <w:color w:val="000000"/>
              </w:rPr>
              <w:t xml:space="preserve">e </w:t>
            </w:r>
            <w:r>
              <w:rPr>
                <w:color w:val="000000"/>
              </w:rPr>
              <w:t>por processo mensal, contendo também a OC da qual a OM é integrante.</w:t>
            </w:r>
          </w:p>
        </w:tc>
      </w:tr>
      <w:tr w:rsidR="00AB31C7" w14:paraId="5C673F37" w14:textId="77777777" w:rsidTr="00AB31C7">
        <w:tc>
          <w:tcPr>
            <w:tcW w:w="3402" w:type="dxa"/>
            <w:tcBorders>
              <w:top w:val="single" w:sz="8" w:space="0" w:color="000000"/>
              <w:bottom w:val="single" w:sz="8" w:space="0" w:color="000000"/>
            </w:tcBorders>
          </w:tcPr>
          <w:p w14:paraId="48891C67" w14:textId="77777777" w:rsidR="00AB31C7" w:rsidRDefault="00AB31C7" w:rsidP="00AB31C7">
            <w:pPr>
              <w:widowControl w:val="0"/>
              <w:jc w:val="center"/>
            </w:pPr>
            <w:r>
              <w:rPr>
                <w:color w:val="000000"/>
              </w:rPr>
              <w:t>Militares por OC/OM</w:t>
            </w:r>
          </w:p>
          <w:p w14:paraId="4F1381EB" w14:textId="77777777" w:rsidR="00AB31C7" w:rsidRDefault="00AB31C7" w:rsidP="00AB31C7">
            <w:pPr>
              <w:widowControl w:val="0"/>
              <w:jc w:val="center"/>
            </w:pPr>
          </w:p>
        </w:tc>
        <w:tc>
          <w:tcPr>
            <w:tcW w:w="5387" w:type="dxa"/>
            <w:tcBorders>
              <w:top w:val="single" w:sz="8" w:space="0" w:color="000000"/>
              <w:left w:val="nil"/>
              <w:bottom w:val="single" w:sz="8" w:space="0" w:color="000000"/>
            </w:tcBorders>
          </w:tcPr>
          <w:p w14:paraId="3A6C00CB" w14:textId="77777777" w:rsidR="00AB31C7" w:rsidRDefault="00AB31C7" w:rsidP="00AB31C7">
            <w:pPr>
              <w:widowControl w:val="0"/>
              <w:ind w:right="-104"/>
              <w:jc w:val="both"/>
            </w:pPr>
            <w:r>
              <w:rPr>
                <w:color w:val="000000"/>
              </w:rPr>
              <w:t>Contém a quantidade de militares por posto/graduação, bem como sua remuneração, por cada OM e por processo mensal.</w:t>
            </w:r>
          </w:p>
        </w:tc>
      </w:tr>
      <w:tr w:rsidR="00AB31C7" w14:paraId="1CDA264C" w14:textId="77777777" w:rsidTr="00AB31C7">
        <w:tc>
          <w:tcPr>
            <w:tcW w:w="3402" w:type="dxa"/>
            <w:tcBorders>
              <w:top w:val="single" w:sz="8" w:space="0" w:color="000000"/>
              <w:bottom w:val="single" w:sz="8" w:space="0" w:color="000000"/>
            </w:tcBorders>
          </w:tcPr>
          <w:p w14:paraId="7FF10827" w14:textId="77777777" w:rsidR="00AB31C7" w:rsidRDefault="00AB31C7" w:rsidP="00AB31C7">
            <w:pPr>
              <w:widowControl w:val="0"/>
              <w:jc w:val="center"/>
            </w:pPr>
            <w:r>
              <w:rPr>
                <w:color w:val="000000"/>
              </w:rPr>
              <w:t>OM/OC</w:t>
            </w:r>
          </w:p>
        </w:tc>
        <w:tc>
          <w:tcPr>
            <w:tcW w:w="5387" w:type="dxa"/>
            <w:tcBorders>
              <w:top w:val="single" w:sz="8" w:space="0" w:color="000000"/>
              <w:left w:val="nil"/>
              <w:bottom w:val="single" w:sz="8" w:space="0" w:color="000000"/>
            </w:tcBorders>
          </w:tcPr>
          <w:p w14:paraId="5CD2C4F1" w14:textId="77777777" w:rsidR="00AB31C7" w:rsidRDefault="00AB31C7" w:rsidP="00AB31C7">
            <w:pPr>
              <w:widowControl w:val="0"/>
              <w:jc w:val="both"/>
            </w:pPr>
            <w:r>
              <w:rPr>
                <w:color w:val="000000"/>
              </w:rPr>
              <w:t>Relação de OM categorizadas por OC.</w:t>
            </w:r>
          </w:p>
        </w:tc>
      </w:tr>
      <w:tr w:rsidR="00AB31C7" w14:paraId="31B0A21E" w14:textId="77777777" w:rsidTr="00AB31C7">
        <w:tc>
          <w:tcPr>
            <w:tcW w:w="3402" w:type="dxa"/>
            <w:tcBorders>
              <w:top w:val="single" w:sz="8" w:space="0" w:color="000000"/>
              <w:bottom w:val="single" w:sz="8" w:space="0" w:color="000000"/>
            </w:tcBorders>
          </w:tcPr>
          <w:p w14:paraId="77FBF5CB" w14:textId="77777777" w:rsidR="00AB31C7" w:rsidRDefault="00AB31C7" w:rsidP="00AB31C7">
            <w:pPr>
              <w:widowControl w:val="0"/>
              <w:jc w:val="center"/>
            </w:pPr>
            <w:r>
              <w:rPr>
                <w:color w:val="000000"/>
              </w:rPr>
              <w:t>Soldos</w:t>
            </w:r>
          </w:p>
          <w:p w14:paraId="181151D4" w14:textId="77777777" w:rsidR="00AB31C7" w:rsidRDefault="00AB31C7" w:rsidP="00AB31C7">
            <w:pPr>
              <w:widowControl w:val="0"/>
              <w:jc w:val="center"/>
              <w:rPr>
                <w:color w:val="000000"/>
              </w:rPr>
            </w:pPr>
          </w:p>
        </w:tc>
        <w:tc>
          <w:tcPr>
            <w:tcW w:w="5387" w:type="dxa"/>
            <w:tcBorders>
              <w:top w:val="single" w:sz="8" w:space="0" w:color="000000"/>
              <w:left w:val="nil"/>
              <w:bottom w:val="single" w:sz="8" w:space="0" w:color="000000"/>
            </w:tcBorders>
          </w:tcPr>
          <w:p w14:paraId="6B7CE6D6" w14:textId="77777777" w:rsidR="00AB31C7" w:rsidRDefault="00AB31C7" w:rsidP="00AB31C7">
            <w:pPr>
              <w:widowControl w:val="0"/>
              <w:jc w:val="both"/>
              <w:rPr>
                <w:color w:val="000000"/>
              </w:rPr>
            </w:pPr>
            <w:r>
              <w:rPr>
                <w:color w:val="000000"/>
              </w:rPr>
              <w:t>Contém os valores de cada rubrica de remuneração básica entre 2018 e 2021, por posto/graduação. Tal planilha foi utilizada para compor a coluna remuneração da planilha Militares por OC/OM.</w:t>
            </w:r>
          </w:p>
        </w:tc>
      </w:tr>
      <w:tr w:rsidR="00A43F74" w14:paraId="41C8A5B4" w14:textId="77777777" w:rsidTr="00AB31C7">
        <w:tc>
          <w:tcPr>
            <w:tcW w:w="3402" w:type="dxa"/>
            <w:tcBorders>
              <w:top w:val="single" w:sz="8" w:space="0" w:color="000000"/>
              <w:bottom w:val="single" w:sz="8" w:space="0" w:color="000000"/>
            </w:tcBorders>
          </w:tcPr>
          <w:p w14:paraId="7ADC37F5" w14:textId="77777777" w:rsidR="00A43F74" w:rsidRDefault="00A43F74" w:rsidP="00A43F74">
            <w:pPr>
              <w:widowControl w:val="0"/>
              <w:jc w:val="center"/>
            </w:pPr>
            <w:r>
              <w:rPr>
                <w:color w:val="000000"/>
              </w:rPr>
              <w:t>Rubricas por OM</w:t>
            </w:r>
          </w:p>
          <w:p w14:paraId="10BC8206" w14:textId="77777777" w:rsidR="00A43F74" w:rsidRDefault="00A43F74" w:rsidP="00A43F74">
            <w:pPr>
              <w:widowControl w:val="0"/>
              <w:jc w:val="center"/>
              <w:rPr>
                <w:color w:val="000000"/>
              </w:rPr>
            </w:pPr>
          </w:p>
        </w:tc>
        <w:tc>
          <w:tcPr>
            <w:tcW w:w="5387" w:type="dxa"/>
            <w:tcBorders>
              <w:top w:val="single" w:sz="8" w:space="0" w:color="000000"/>
              <w:left w:val="nil"/>
              <w:bottom w:val="single" w:sz="8" w:space="0" w:color="000000"/>
            </w:tcBorders>
          </w:tcPr>
          <w:p w14:paraId="2AD4D3A8" w14:textId="6D5BB61A" w:rsidR="00A43F74" w:rsidRDefault="00A43F74" w:rsidP="00A43F74">
            <w:pPr>
              <w:widowControl w:val="0"/>
              <w:jc w:val="both"/>
              <w:rPr>
                <w:color w:val="000000"/>
              </w:rPr>
            </w:pPr>
            <w:r>
              <w:rPr>
                <w:color w:val="000000"/>
              </w:rPr>
              <w:t>Parcelas da remuneração básica por OM e processo mensal, além de valores brutos das parcelas constantes e quantidade de militares da OM.</w:t>
            </w:r>
          </w:p>
        </w:tc>
      </w:tr>
      <w:tr w:rsidR="00A43F74" w14:paraId="1CDC33A7" w14:textId="77777777" w:rsidTr="00AB31C7">
        <w:tc>
          <w:tcPr>
            <w:tcW w:w="3402" w:type="dxa"/>
            <w:tcBorders>
              <w:top w:val="single" w:sz="8" w:space="0" w:color="000000"/>
              <w:bottom w:val="single" w:sz="8" w:space="0" w:color="000000"/>
            </w:tcBorders>
          </w:tcPr>
          <w:p w14:paraId="423DB2DB" w14:textId="7265E646" w:rsidR="00A43F74" w:rsidRDefault="00A43F74" w:rsidP="00A43F74">
            <w:pPr>
              <w:widowControl w:val="0"/>
              <w:jc w:val="center"/>
              <w:rPr>
                <w:color w:val="000000"/>
              </w:rPr>
            </w:pPr>
            <w:r>
              <w:rPr>
                <w:color w:val="000000"/>
              </w:rPr>
              <w:t>Organizações sem apoio de rancho e sem rancho próprio</w:t>
            </w:r>
          </w:p>
        </w:tc>
        <w:tc>
          <w:tcPr>
            <w:tcW w:w="5387" w:type="dxa"/>
            <w:tcBorders>
              <w:top w:val="single" w:sz="8" w:space="0" w:color="000000"/>
              <w:left w:val="nil"/>
              <w:bottom w:val="single" w:sz="8" w:space="0" w:color="000000"/>
            </w:tcBorders>
          </w:tcPr>
          <w:p w14:paraId="54034789" w14:textId="4A3FFBBF" w:rsidR="00A43F74" w:rsidRDefault="00A43F74" w:rsidP="00A43F74">
            <w:pPr>
              <w:widowControl w:val="0"/>
              <w:jc w:val="both"/>
              <w:rPr>
                <w:color w:val="000000"/>
              </w:rPr>
            </w:pPr>
            <w:r>
              <w:rPr>
                <w:color w:val="000000"/>
              </w:rPr>
              <w:t>Contém todas as organizações da MB em que militares recebem a parcela de Auxílio Alimentação no bilhete de pagamento.</w:t>
            </w:r>
          </w:p>
        </w:tc>
      </w:tr>
      <w:tr w:rsidR="00A43F74" w14:paraId="498862A2" w14:textId="77777777" w:rsidTr="00AB31C7">
        <w:tc>
          <w:tcPr>
            <w:tcW w:w="3402" w:type="dxa"/>
            <w:tcBorders>
              <w:top w:val="single" w:sz="8" w:space="0" w:color="000000"/>
              <w:bottom w:val="single" w:sz="8" w:space="0" w:color="000000"/>
            </w:tcBorders>
          </w:tcPr>
          <w:p w14:paraId="13A9B305" w14:textId="77777777" w:rsidR="00A43F74" w:rsidRDefault="00A43F74" w:rsidP="00A43F74">
            <w:pPr>
              <w:widowControl w:val="0"/>
              <w:jc w:val="center"/>
            </w:pPr>
            <w:r>
              <w:rPr>
                <w:color w:val="000000"/>
              </w:rPr>
              <w:t>Compilada</w:t>
            </w:r>
          </w:p>
          <w:p w14:paraId="33ED6DB5" w14:textId="77777777" w:rsidR="00A43F74" w:rsidRDefault="00A43F74" w:rsidP="00A43F74">
            <w:pPr>
              <w:widowControl w:val="0"/>
              <w:jc w:val="center"/>
              <w:rPr>
                <w:color w:val="000000"/>
              </w:rPr>
            </w:pPr>
          </w:p>
        </w:tc>
        <w:tc>
          <w:tcPr>
            <w:tcW w:w="5387" w:type="dxa"/>
            <w:tcBorders>
              <w:top w:val="single" w:sz="8" w:space="0" w:color="000000"/>
              <w:left w:val="nil"/>
              <w:bottom w:val="single" w:sz="8" w:space="0" w:color="000000"/>
            </w:tcBorders>
          </w:tcPr>
          <w:p w14:paraId="369692BE" w14:textId="7045781E" w:rsidR="00A43F74" w:rsidRDefault="00A43F74" w:rsidP="00A43F74">
            <w:pPr>
              <w:widowControl w:val="0"/>
              <w:jc w:val="both"/>
              <w:rPr>
                <w:color w:val="000000"/>
              </w:rPr>
            </w:pPr>
            <w:r>
              <w:rPr>
                <w:color w:val="000000"/>
              </w:rPr>
              <w:t>Quantidade de alterações e valor total de alterações, categorizadas por rubricas, por OM e por processo mensal.</w:t>
            </w:r>
          </w:p>
        </w:tc>
      </w:tr>
    </w:tbl>
    <w:p w14:paraId="73BA247D" w14:textId="51BF0B29" w:rsidR="004C0F51" w:rsidRPr="004C0F51" w:rsidRDefault="00AA6D4A" w:rsidP="004C0F51">
      <w:pPr>
        <w:rPr>
          <w:b/>
          <w:bCs/>
          <w:color w:val="000000"/>
        </w:rPr>
      </w:pPr>
      <w:r>
        <w:rPr>
          <w:b/>
          <w:bCs/>
          <w:color w:val="000000"/>
          <w:sz w:val="20"/>
          <w:szCs w:val="20"/>
        </w:rPr>
        <w:t>Tabela 1 – Planilhas importadas</w:t>
      </w:r>
    </w:p>
    <w:p w14:paraId="6DA018EB" w14:textId="5C58DA4A" w:rsidR="00A43F74" w:rsidRDefault="00A43F74" w:rsidP="008704AD">
      <w:pPr>
        <w:rPr>
          <w:b/>
          <w:bCs/>
          <w:color w:val="000000"/>
          <w:sz w:val="20"/>
          <w:szCs w:val="20"/>
        </w:rPr>
      </w:pPr>
      <w:r w:rsidRPr="00FC553C">
        <w:rPr>
          <w:sz w:val="18"/>
          <w:szCs w:val="18"/>
        </w:rPr>
        <w:t xml:space="preserve">Fonte: </w:t>
      </w:r>
      <w:r w:rsidR="00AD2346">
        <w:rPr>
          <w:sz w:val="18"/>
          <w:szCs w:val="18"/>
        </w:rPr>
        <w:t>Elaborado pelo autor (2022).</w:t>
      </w:r>
    </w:p>
    <w:p w14:paraId="7D5EE44E" w14:textId="77777777" w:rsidR="004C0F51" w:rsidRDefault="004C0F51" w:rsidP="00A43F74">
      <w:pPr>
        <w:pStyle w:val="NormalWeb"/>
        <w:spacing w:beforeAutospacing="0" w:afterAutospacing="0"/>
        <w:jc w:val="both"/>
        <w:rPr>
          <w:color w:val="000000"/>
        </w:rPr>
      </w:pPr>
    </w:p>
    <w:p w14:paraId="3C697747" w14:textId="77777777" w:rsidR="004C0F51" w:rsidRDefault="004C0F51" w:rsidP="004C0F51">
      <w:pPr>
        <w:pStyle w:val="NormalWeb"/>
        <w:spacing w:beforeAutospacing="0" w:afterAutospacing="0"/>
        <w:ind w:firstLine="720"/>
        <w:jc w:val="both"/>
        <w:rPr>
          <w:color w:val="000000"/>
        </w:rPr>
      </w:pPr>
      <w:r>
        <w:rPr>
          <w:color w:val="000000"/>
        </w:rPr>
        <w:t xml:space="preserve">Logo após as importações, todas </w:t>
      </w:r>
      <w:r w:rsidRPr="00631671">
        <w:rPr>
          <w:color w:val="000000"/>
        </w:rPr>
        <w:t xml:space="preserve">as </w:t>
      </w:r>
      <w:r>
        <w:rPr>
          <w:color w:val="000000"/>
        </w:rPr>
        <w:t>planilhas foram verificadas com as suas respectivas variáveis (analisando-se também os tipos de variáveis) e foi feito um sumário de estatística descritiva das variáveis numéricas.</w:t>
      </w:r>
    </w:p>
    <w:p w14:paraId="3511AAD9" w14:textId="51B50232" w:rsidR="004C0F51" w:rsidRDefault="004C0F51" w:rsidP="004C0F51">
      <w:pPr>
        <w:ind w:firstLine="720"/>
        <w:jc w:val="both"/>
        <w:rPr>
          <w:color w:val="000000"/>
        </w:rPr>
      </w:pPr>
      <w:r>
        <w:rPr>
          <w:color w:val="000000"/>
        </w:rPr>
        <w:t>Das 17.617 linhas de alterações de pagamento por rubrica e por organização militar</w:t>
      </w:r>
      <w:r w:rsidR="000C2470">
        <w:rPr>
          <w:color w:val="000000"/>
        </w:rPr>
        <w:t xml:space="preserve"> da planilha “Compilada”</w:t>
      </w:r>
      <w:r>
        <w:rPr>
          <w:color w:val="000000"/>
        </w:rPr>
        <w:t xml:space="preserve">, no período de 2018 a 2021, encontraram-se 2.276 com valores negativos e 1.291 com valor nulo. Como não se encontrou um meio correto de se preencher estes dados, optou-se por </w:t>
      </w:r>
      <w:r w:rsidRPr="00631671">
        <w:rPr>
          <w:color w:val="000000"/>
        </w:rPr>
        <w:t>excluí-los</w:t>
      </w:r>
      <w:r>
        <w:rPr>
          <w:color w:val="2A6099"/>
        </w:rPr>
        <w:t xml:space="preserve"> </w:t>
      </w:r>
      <w:r>
        <w:rPr>
          <w:color w:val="000000"/>
        </w:rPr>
        <w:t>da análise, para que não "poluísse" os demais dados.</w:t>
      </w:r>
    </w:p>
    <w:p w14:paraId="4A58AB3D" w14:textId="06E5C648" w:rsidR="004C0F51" w:rsidRDefault="004C0F51" w:rsidP="004C0F51">
      <w:pPr>
        <w:ind w:firstLine="720"/>
        <w:jc w:val="both"/>
        <w:rPr>
          <w:color w:val="000000"/>
        </w:rPr>
      </w:pPr>
      <w:r>
        <w:rPr>
          <w:color w:val="000000"/>
        </w:rPr>
        <w:t>Ademais, com o propósito de criar aglomerados dos processos que mant</w:t>
      </w:r>
      <w:r w:rsidRPr="00631671">
        <w:rPr>
          <w:color w:val="000000"/>
        </w:rPr>
        <w:t>ê</w:t>
      </w:r>
      <w:r>
        <w:rPr>
          <w:color w:val="000000"/>
        </w:rPr>
        <w:t xml:space="preserve">m similaridades entre si, removeu-se as observações da PAPEM e do </w:t>
      </w:r>
      <w:r w:rsidRPr="00E5701C">
        <w:rPr>
          <w:color w:val="000000"/>
        </w:rPr>
        <w:t>Serviço de Veteranos e Pensionistas da Marinha (SVPM)</w:t>
      </w:r>
      <w:r>
        <w:rPr>
          <w:color w:val="000000"/>
        </w:rPr>
        <w:t xml:space="preserve">, </w:t>
      </w:r>
      <w:r w:rsidR="00B762C4">
        <w:rPr>
          <w:color w:val="000000"/>
        </w:rPr>
        <w:t>em razão de</w:t>
      </w:r>
      <w:r>
        <w:rPr>
          <w:color w:val="000000"/>
        </w:rPr>
        <w:t xml:space="preserve"> a primeira é a única orga</w:t>
      </w:r>
      <w:r w:rsidRPr="00E5701C">
        <w:rPr>
          <w:color w:val="000000"/>
        </w:rPr>
        <w:t>n</w:t>
      </w:r>
      <w:r>
        <w:rPr>
          <w:color w:val="000000"/>
        </w:rPr>
        <w:t xml:space="preserve">ização que </w:t>
      </w:r>
      <w:r w:rsidRPr="00E5701C">
        <w:rPr>
          <w:color w:val="000000"/>
        </w:rPr>
        <w:t xml:space="preserve">realiza </w:t>
      </w:r>
      <w:r>
        <w:rPr>
          <w:color w:val="000000"/>
        </w:rPr>
        <w:t xml:space="preserve">pagamentos </w:t>
      </w:r>
      <w:r w:rsidRPr="00E5701C">
        <w:rPr>
          <w:color w:val="000000"/>
        </w:rPr>
        <w:t xml:space="preserve">para o pessoal que serve </w:t>
      </w:r>
      <w:r>
        <w:rPr>
          <w:color w:val="000000"/>
        </w:rPr>
        <w:t>no exterior e o SVPM é a única OM que possui rubricas exclusivas dos reservistas e pensionistas da MB. Em suma, estas duas organizações são muito díspares das demais no que tange ao pagamento de pessoal.</w:t>
      </w:r>
    </w:p>
    <w:p w14:paraId="3C7A2BE4" w14:textId="6C34E1BA" w:rsidR="004C0F51" w:rsidRDefault="004C0F51" w:rsidP="008F5295">
      <w:pPr>
        <w:ind w:firstLine="720"/>
        <w:jc w:val="both"/>
        <w:rPr>
          <w:color w:val="000000"/>
        </w:rPr>
      </w:pPr>
      <w:r>
        <w:rPr>
          <w:color w:val="000000"/>
        </w:rPr>
        <w:t xml:space="preserve">Também foram verificados os dados ausentes, para analisar a melhor estratégia para o seu preenchimento ou remoção. </w:t>
      </w:r>
      <w:r w:rsidRPr="00A35014">
        <w:rPr>
          <w:color w:val="000000"/>
        </w:rPr>
        <w:t xml:space="preserve">A maior quantidade de dados imputados foram os valores brutos para as </w:t>
      </w:r>
      <w:r w:rsidR="00413A5E" w:rsidRPr="00A35014">
        <w:rPr>
          <w:color w:val="000000"/>
        </w:rPr>
        <w:t xml:space="preserve">rubricas </w:t>
      </w:r>
      <w:r w:rsidRPr="00A35014">
        <w:rPr>
          <w:color w:val="000000"/>
        </w:rPr>
        <w:t>parametrizadas</w:t>
      </w:r>
      <w:r w:rsidR="001B3C96">
        <w:rPr>
          <w:color w:val="000000"/>
        </w:rPr>
        <w:t>,</w:t>
      </w:r>
      <w:r w:rsidRPr="00A35014">
        <w:rPr>
          <w:color w:val="000000"/>
        </w:rPr>
        <w:t xml:space="preserve"> que foram calculados baseando-se nos valores brutos dos processos subtraídos da soma das outras </w:t>
      </w:r>
      <w:r w:rsidR="00DB7FA2" w:rsidRPr="00A35014">
        <w:rPr>
          <w:color w:val="000000"/>
        </w:rPr>
        <w:t>rubricas</w:t>
      </w:r>
      <w:r w:rsidRPr="00A35014">
        <w:rPr>
          <w:color w:val="000000"/>
        </w:rPr>
        <w:t xml:space="preserve"> que continham valores atribuídos, e distribuídos por pesos atrelados à quantidade de </w:t>
      </w:r>
      <w:r w:rsidR="00DB7FA2" w:rsidRPr="00A35014">
        <w:t xml:space="preserve">rubricas </w:t>
      </w:r>
      <w:r w:rsidRPr="00A35014">
        <w:rPr>
          <w:color w:val="000000"/>
        </w:rPr>
        <w:t>do processo.</w:t>
      </w:r>
    </w:p>
    <w:p w14:paraId="35F28E50" w14:textId="77777777" w:rsidR="004C0F51" w:rsidRDefault="004C0F51" w:rsidP="004C0F51">
      <w:pPr>
        <w:ind w:firstLine="720"/>
        <w:jc w:val="both"/>
        <w:rPr>
          <w:color w:val="000000"/>
        </w:rPr>
      </w:pPr>
      <w:r>
        <w:rPr>
          <w:color w:val="000000"/>
        </w:rPr>
        <w:t>Assim, ajustou-se os dados com a intenção de criar variáveis por critérios que sejam relevantes para a análise.</w:t>
      </w:r>
    </w:p>
    <w:p w14:paraId="354A6DA7" w14:textId="08A2B2DF" w:rsidR="004C0F51" w:rsidRDefault="004C0F51" w:rsidP="004C0F51">
      <w:pPr>
        <w:pStyle w:val="NormalWeb"/>
        <w:spacing w:beforeAutospacing="0" w:afterAutospacing="0"/>
        <w:ind w:firstLine="720"/>
        <w:jc w:val="both"/>
        <w:rPr>
          <w:color w:val="000000"/>
        </w:rPr>
      </w:pPr>
      <w:r>
        <w:rPr>
          <w:color w:val="000000"/>
        </w:rPr>
        <w:t xml:space="preserve">Foi criada, </w:t>
      </w:r>
      <w:r w:rsidR="00686235">
        <w:rPr>
          <w:color w:val="000000"/>
        </w:rPr>
        <w:t>desse modo</w:t>
      </w:r>
      <w:r>
        <w:rPr>
          <w:color w:val="000000"/>
        </w:rPr>
        <w:t>, a variável "Remuneração"</w:t>
      </w:r>
      <w:r w:rsidR="00233ACA">
        <w:rPr>
          <w:color w:val="000000"/>
        </w:rPr>
        <w:t>,</w:t>
      </w:r>
      <w:r>
        <w:rPr>
          <w:color w:val="000000"/>
        </w:rPr>
        <w:t xml:space="preserve"> utilizando os dados disponíveis de soldos e das parcelas comuns que compõem a remuneração dos militares. Salienta-se que foram observadas as mudanças decorrentes da Lei nº 13.954/2019, que dentre outras alterações, normatizou a criação do adicional de </w:t>
      </w:r>
      <w:r w:rsidR="00724940">
        <w:rPr>
          <w:color w:val="000000"/>
        </w:rPr>
        <w:t>compensação por disponibilidade militar</w:t>
      </w:r>
      <w:r>
        <w:rPr>
          <w:color w:val="000000"/>
        </w:rPr>
        <w:t xml:space="preserve">, em substituição ao adicional de tempo de serviço. Foram geradas também duas variáveis para classificar as organizações: a primeira se refere à quantidade de organizações que estão em uma mesma OC; e a segunda à quantidade de militares por OM. Isto foi feito para que se verificasse se uma OC </w:t>
      </w:r>
      <w:r w:rsidR="00A8413F">
        <w:rPr>
          <w:color w:val="000000"/>
        </w:rPr>
        <w:t xml:space="preserve">que </w:t>
      </w:r>
      <w:r>
        <w:rPr>
          <w:color w:val="000000"/>
        </w:rPr>
        <w:t xml:space="preserve">contém muitas OM apoiadas, bem como uma OC </w:t>
      </w:r>
      <w:r w:rsidR="00A02B47">
        <w:rPr>
          <w:color w:val="000000"/>
        </w:rPr>
        <w:t>detentora de</w:t>
      </w:r>
      <w:r>
        <w:rPr>
          <w:color w:val="000000"/>
        </w:rPr>
        <w:t xml:space="preserve"> muitas fichas financeiras possuem maior propensão </w:t>
      </w:r>
      <w:r>
        <w:t xml:space="preserve">a </w:t>
      </w:r>
      <w:r>
        <w:rPr>
          <w:color w:val="000000"/>
        </w:rPr>
        <w:t>erros.</w:t>
      </w:r>
    </w:p>
    <w:p w14:paraId="035D6A4D" w14:textId="77777777" w:rsidR="004C0F51" w:rsidRDefault="004C0F51" w:rsidP="004C0F51">
      <w:pPr>
        <w:ind w:firstLine="720"/>
        <w:jc w:val="both"/>
        <w:rPr>
          <w:color w:val="000000"/>
        </w:rPr>
      </w:pPr>
      <w:r>
        <w:rPr>
          <w:color w:val="000000"/>
        </w:rPr>
        <w:t xml:space="preserve">Transformou-se todas as parcelas em variáveis, e padronizou-se os valores de cada uma delas, para que os valores de cada rubrica variassem em torno da média 0 com desvio padrão 1, a fim de tornar os dados tão esféricos quanto possível, e, assim, aumentar a performance do modelo </w:t>
      </w:r>
      <w:r w:rsidRPr="00220021">
        <w:rPr>
          <w:i/>
          <w:iCs/>
          <w:color w:val="000000"/>
        </w:rPr>
        <w:t>K-</w:t>
      </w:r>
      <w:proofErr w:type="spellStart"/>
      <w:r w:rsidRPr="00220021">
        <w:rPr>
          <w:i/>
          <w:iCs/>
          <w:color w:val="000000"/>
        </w:rPr>
        <w:t>means</w:t>
      </w:r>
      <w:proofErr w:type="spellEnd"/>
      <w:r>
        <w:rPr>
          <w:color w:val="000000"/>
        </w:rPr>
        <w:t>.</w:t>
      </w:r>
    </w:p>
    <w:p w14:paraId="31C3BC27" w14:textId="77777777" w:rsidR="004C0F51" w:rsidRDefault="004C0F51" w:rsidP="004C0F51">
      <w:pPr>
        <w:ind w:firstLine="720"/>
        <w:jc w:val="both"/>
        <w:rPr>
          <w:color w:val="000000"/>
        </w:rPr>
      </w:pPr>
      <w:r>
        <w:rPr>
          <w:color w:val="000000"/>
        </w:rPr>
        <w:t xml:space="preserve">Após isto, valeu-se do algoritmo </w:t>
      </w:r>
      <w:r>
        <w:rPr>
          <w:i/>
          <w:iCs/>
          <w:color w:val="000000"/>
        </w:rPr>
        <w:t>K-</w:t>
      </w:r>
      <w:proofErr w:type="spellStart"/>
      <w:r>
        <w:rPr>
          <w:i/>
          <w:iCs/>
          <w:color w:val="000000"/>
        </w:rPr>
        <w:t>means</w:t>
      </w:r>
      <w:proofErr w:type="spellEnd"/>
      <w:r>
        <w:rPr>
          <w:color w:val="000000"/>
        </w:rPr>
        <w:t xml:space="preserve">, que é uma técnica de </w:t>
      </w:r>
      <w:proofErr w:type="spellStart"/>
      <w:r>
        <w:rPr>
          <w:color w:val="000000"/>
        </w:rPr>
        <w:t>clusterização</w:t>
      </w:r>
      <w:proofErr w:type="spellEnd"/>
      <w:r>
        <w:rPr>
          <w:color w:val="000000"/>
        </w:rPr>
        <w:t xml:space="preserve"> </w:t>
      </w:r>
      <w:proofErr w:type="spellStart"/>
      <w:r>
        <w:rPr>
          <w:color w:val="000000"/>
        </w:rPr>
        <w:t>particional</w:t>
      </w:r>
      <w:proofErr w:type="spellEnd"/>
      <w:r>
        <w:rPr>
          <w:color w:val="000000"/>
        </w:rPr>
        <w:t xml:space="preserve">. Embora o </w:t>
      </w:r>
      <w:r>
        <w:rPr>
          <w:i/>
          <w:iCs/>
          <w:color w:val="000000"/>
        </w:rPr>
        <w:t>K-</w:t>
      </w:r>
      <w:proofErr w:type="spellStart"/>
      <w:r>
        <w:rPr>
          <w:i/>
          <w:iCs/>
          <w:color w:val="000000"/>
        </w:rPr>
        <w:t>means</w:t>
      </w:r>
      <w:proofErr w:type="spellEnd"/>
      <w:r>
        <w:rPr>
          <w:color w:val="000000"/>
        </w:rPr>
        <w:t xml:space="preserve"> não seja o algoritmo indicado quando há </w:t>
      </w:r>
      <w:r>
        <w:rPr>
          <w:i/>
          <w:iCs/>
          <w:color w:val="000000"/>
        </w:rPr>
        <w:t>outliers</w:t>
      </w:r>
      <w:r>
        <w:rPr>
          <w:color w:val="000000"/>
        </w:rPr>
        <w:t xml:space="preserve"> no banco de dados, a remoção destes não foi efetuada, já que os </w:t>
      </w:r>
      <w:r>
        <w:rPr>
          <w:i/>
          <w:iCs/>
          <w:color w:val="000000"/>
        </w:rPr>
        <w:t>outliers</w:t>
      </w:r>
      <w:r>
        <w:rPr>
          <w:color w:val="000000"/>
        </w:rPr>
        <w:t xml:space="preserve"> podem conter informações relevantes na busca por prováveis inconsistências de pagamento. Em adição, menciona-se que não </w:t>
      </w:r>
      <w:r w:rsidRPr="006329CE">
        <w:rPr>
          <w:color w:val="000000"/>
        </w:rPr>
        <w:t>se</w:t>
      </w:r>
      <w:r>
        <w:rPr>
          <w:color w:val="2A6099"/>
        </w:rPr>
        <w:t xml:space="preserve"> </w:t>
      </w:r>
      <w:r>
        <w:rPr>
          <w:color w:val="000000"/>
        </w:rPr>
        <w:t>utilizou um tipo de clusterização hierárquica por falta de capacidade de processamento e, tampouco, se valeu da clusterização por densidade pelo fato de que o conjunto de dados apresenta alta dimensionalidade - ou seja, são 853 variáveis a serem analisadas e cada uma possui mais de 4 mil observações.</w:t>
      </w:r>
    </w:p>
    <w:p w14:paraId="3D15F624" w14:textId="6E9B05B8" w:rsidR="004C0F51" w:rsidRDefault="004C0F51" w:rsidP="004C0F51">
      <w:pPr>
        <w:ind w:firstLine="720"/>
        <w:jc w:val="both"/>
        <w:rPr>
          <w:color w:val="000000"/>
        </w:rPr>
      </w:pPr>
      <w:r>
        <w:rPr>
          <w:color w:val="000000"/>
        </w:rPr>
        <w:t xml:space="preserve">Para se encontrar o número ideal de </w:t>
      </w:r>
      <w:r w:rsidRPr="002359D5">
        <w:rPr>
          <w:i/>
          <w:iCs/>
          <w:color w:val="000000"/>
        </w:rPr>
        <w:t>cluster</w:t>
      </w:r>
      <w:r>
        <w:rPr>
          <w:i/>
          <w:iCs/>
          <w:color w:val="000000"/>
        </w:rPr>
        <w:t>s</w:t>
      </w:r>
      <w:r>
        <w:rPr>
          <w:color w:val="000000"/>
        </w:rPr>
        <w:t xml:space="preserve"> pelo algoritmo </w:t>
      </w:r>
      <w:r>
        <w:rPr>
          <w:i/>
          <w:iCs/>
          <w:color w:val="000000"/>
        </w:rPr>
        <w:t>K-</w:t>
      </w:r>
      <w:proofErr w:type="spellStart"/>
      <w:r>
        <w:rPr>
          <w:i/>
          <w:iCs/>
          <w:color w:val="000000"/>
        </w:rPr>
        <w:t>means</w:t>
      </w:r>
      <w:proofErr w:type="spellEnd"/>
      <w:r>
        <w:rPr>
          <w:color w:val="000000"/>
        </w:rPr>
        <w:t xml:space="preserve">, valeu-se do Método </w:t>
      </w:r>
      <w:proofErr w:type="spellStart"/>
      <w:r>
        <w:rPr>
          <w:color w:val="000000"/>
        </w:rPr>
        <w:t>Elbow</w:t>
      </w:r>
      <w:proofErr w:type="spellEnd"/>
      <w:r>
        <w:rPr>
          <w:color w:val="000000"/>
        </w:rPr>
        <w:t xml:space="preserve">, cuja </w:t>
      </w:r>
      <w:r w:rsidR="00A63C02">
        <w:rPr>
          <w:color w:val="000000"/>
        </w:rPr>
        <w:t>f</w:t>
      </w:r>
      <w:r>
        <w:rPr>
          <w:color w:val="000000"/>
        </w:rPr>
        <w:t xml:space="preserve">igura, extraída do </w:t>
      </w:r>
      <w:r>
        <w:t xml:space="preserve">arquivo do </w:t>
      </w:r>
      <w:r>
        <w:rPr>
          <w:i/>
          <w:iCs/>
        </w:rPr>
        <w:t xml:space="preserve">Google </w:t>
      </w:r>
      <w:proofErr w:type="spellStart"/>
      <w:r>
        <w:rPr>
          <w:i/>
          <w:iCs/>
        </w:rPr>
        <w:t>Colab</w:t>
      </w:r>
      <w:proofErr w:type="spellEnd"/>
      <w:r>
        <w:t>,</w:t>
      </w:r>
      <w:r>
        <w:rPr>
          <w:color w:val="FF0000"/>
        </w:rPr>
        <w:t xml:space="preserve"> </w:t>
      </w:r>
      <w:r>
        <w:rPr>
          <w:color w:val="000000"/>
        </w:rPr>
        <w:t>encontra-se abaixo:</w:t>
      </w:r>
    </w:p>
    <w:p w14:paraId="0E9091FB" w14:textId="77777777" w:rsidR="004C0F51" w:rsidRDefault="004C0F51" w:rsidP="004C0F51">
      <w:pPr>
        <w:rPr>
          <w:b/>
          <w:bCs/>
          <w:color w:val="000000"/>
          <w:sz w:val="20"/>
          <w:szCs w:val="20"/>
        </w:rPr>
      </w:pPr>
    </w:p>
    <w:p w14:paraId="5B3D07EC" w14:textId="596DE325" w:rsidR="004C0F51" w:rsidRDefault="004C0F51" w:rsidP="00625BFD">
      <w:pPr>
        <w:pageBreakBefore/>
        <w:ind w:firstLine="993"/>
        <w:rPr>
          <w:b/>
          <w:bCs/>
          <w:i/>
          <w:iCs/>
          <w:color w:val="000000"/>
          <w:sz w:val="20"/>
          <w:szCs w:val="20"/>
        </w:rPr>
      </w:pPr>
      <w:r>
        <w:rPr>
          <w:b/>
          <w:bCs/>
          <w:color w:val="000000"/>
          <w:sz w:val="20"/>
          <w:szCs w:val="20"/>
        </w:rPr>
        <w:lastRenderedPageBreak/>
        <w:t xml:space="preserve">Figura </w:t>
      </w:r>
      <w:r w:rsidR="00B543E0">
        <w:rPr>
          <w:b/>
          <w:bCs/>
          <w:color w:val="000000"/>
          <w:sz w:val="20"/>
          <w:szCs w:val="20"/>
        </w:rPr>
        <w:t>5</w:t>
      </w:r>
      <w:r>
        <w:rPr>
          <w:b/>
          <w:bCs/>
          <w:color w:val="000000"/>
          <w:sz w:val="20"/>
          <w:szCs w:val="20"/>
        </w:rPr>
        <w:t xml:space="preserve"> - Método </w:t>
      </w:r>
      <w:proofErr w:type="spellStart"/>
      <w:r w:rsidRPr="00DB5016">
        <w:rPr>
          <w:b/>
          <w:bCs/>
          <w:i/>
          <w:iCs/>
          <w:color w:val="000000"/>
          <w:sz w:val="20"/>
          <w:szCs w:val="20"/>
        </w:rPr>
        <w:t>Elbow</w:t>
      </w:r>
      <w:proofErr w:type="spellEnd"/>
    </w:p>
    <w:p w14:paraId="38CC0731" w14:textId="62BD5847" w:rsidR="00FB2425" w:rsidRDefault="005A55E5" w:rsidP="00124F6F">
      <w:pPr>
        <w:jc w:val="center"/>
        <w:rPr>
          <w:b/>
          <w:bCs/>
          <w:i/>
          <w:iCs/>
          <w:color w:val="000000"/>
          <w:sz w:val="20"/>
          <w:szCs w:val="20"/>
        </w:rPr>
      </w:pPr>
      <w:r>
        <w:rPr>
          <w:b/>
          <w:bCs/>
          <w:i/>
          <w:iCs/>
          <w:noProof/>
          <w:color w:val="000000"/>
          <w:sz w:val="20"/>
          <w:szCs w:val="20"/>
        </w:rPr>
        <w:drawing>
          <wp:inline distT="0" distB="0" distL="0" distR="0" wp14:anchorId="14F09135" wp14:editId="35DD8B48">
            <wp:extent cx="4667250" cy="2781300"/>
            <wp:effectExtent l="0" t="0" r="0" b="0"/>
            <wp:docPr id="4" name="Imagem 4"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 Gráfico de linhas&#10;&#10;Descrição gerada automaticamente"/>
                    <pic:cNvPicPr/>
                  </pic:nvPicPr>
                  <pic:blipFill>
                    <a:blip r:embed="rId16">
                      <a:extLst>
                        <a:ext uri="{28A0092B-C50C-407E-A947-70E740481C1C}">
                          <a14:useLocalDpi xmlns:a14="http://schemas.microsoft.com/office/drawing/2010/main" val="0"/>
                        </a:ext>
                      </a:extLst>
                    </a:blip>
                    <a:stretch>
                      <a:fillRect/>
                    </a:stretch>
                  </pic:blipFill>
                  <pic:spPr>
                    <a:xfrm>
                      <a:off x="0" y="0"/>
                      <a:ext cx="4699123" cy="2800294"/>
                    </a:xfrm>
                    <a:prstGeom prst="rect">
                      <a:avLst/>
                    </a:prstGeom>
                  </pic:spPr>
                </pic:pic>
              </a:graphicData>
            </a:graphic>
          </wp:inline>
        </w:drawing>
      </w:r>
    </w:p>
    <w:p w14:paraId="4F65DC59" w14:textId="11BAD592" w:rsidR="004C0F51" w:rsidRPr="004B61DB" w:rsidRDefault="004C0F51" w:rsidP="000C492E">
      <w:pPr>
        <w:ind w:firstLine="993"/>
      </w:pPr>
      <w:r>
        <w:rPr>
          <w:color w:val="000000"/>
          <w:sz w:val="18"/>
          <w:szCs w:val="18"/>
        </w:rPr>
        <w:t xml:space="preserve">Fonte: </w:t>
      </w:r>
      <w:r w:rsidR="00C72EFE">
        <w:rPr>
          <w:sz w:val="18"/>
          <w:szCs w:val="18"/>
        </w:rPr>
        <w:t>Elaborado pelo autor (2022).</w:t>
      </w:r>
    </w:p>
    <w:p w14:paraId="5D55C93D" w14:textId="77777777" w:rsidR="000C492E" w:rsidRDefault="000C492E" w:rsidP="00731E13">
      <w:pPr>
        <w:ind w:firstLine="720"/>
        <w:jc w:val="both"/>
        <w:rPr>
          <w:color w:val="000000"/>
        </w:rPr>
      </w:pPr>
    </w:p>
    <w:p w14:paraId="630F1135" w14:textId="479FED0C" w:rsidR="00FB2425" w:rsidRPr="00731E13" w:rsidRDefault="004C0F51" w:rsidP="00731E13">
      <w:pPr>
        <w:ind w:firstLine="720"/>
        <w:jc w:val="both"/>
        <w:rPr>
          <w:color w:val="000000"/>
        </w:rPr>
      </w:pPr>
      <w:r>
        <w:rPr>
          <w:color w:val="000000"/>
        </w:rPr>
        <w:t xml:space="preserve">Entretanto, não é fácil determinar a </w:t>
      </w:r>
      <w:r w:rsidRPr="004B596D">
        <w:rPr>
          <w:color w:val="000000"/>
        </w:rPr>
        <w:t xml:space="preserve">quantidade </w:t>
      </w:r>
      <w:r w:rsidR="00A75705">
        <w:rPr>
          <w:color w:val="000000"/>
        </w:rPr>
        <w:t xml:space="preserve">ideal </w:t>
      </w:r>
      <w:r w:rsidRPr="004B596D">
        <w:rPr>
          <w:color w:val="000000"/>
        </w:rPr>
        <w:t xml:space="preserve">de </w:t>
      </w:r>
      <w:r w:rsidRPr="004B596D">
        <w:rPr>
          <w:i/>
          <w:iCs/>
          <w:color w:val="000000"/>
        </w:rPr>
        <w:t>clusters</w:t>
      </w:r>
      <w:r w:rsidRPr="004B596D">
        <w:rPr>
          <w:color w:val="000000"/>
        </w:rPr>
        <w:t xml:space="preserve">, já que não há uma única mudança abrupta o suficiente para que se descarte, sumariamente, as demais possibilidades. </w:t>
      </w:r>
      <w:r w:rsidR="007409ED">
        <w:rPr>
          <w:color w:val="000000"/>
        </w:rPr>
        <w:t>Por esta razão</w:t>
      </w:r>
      <w:r w:rsidR="00731E13">
        <w:rPr>
          <w:color w:val="000000"/>
        </w:rPr>
        <w:t>,</w:t>
      </w:r>
      <w:r w:rsidR="00FB2425" w:rsidRPr="00FB2425">
        <w:rPr>
          <w:color w:val="000000"/>
        </w:rPr>
        <w:t xml:space="preserve"> lançou-se mão de um recurso conhecido como semente, que permite a fixação de uma mesma sequência aleatória em todas as iterações, de modo a sempre se obter o mesmo número de </w:t>
      </w:r>
      <w:r w:rsidR="00FB2425" w:rsidRPr="00FB2425">
        <w:rPr>
          <w:i/>
          <w:iCs/>
          <w:color w:val="000000"/>
        </w:rPr>
        <w:t>clusters</w:t>
      </w:r>
      <w:r w:rsidR="00FB2425" w:rsidRPr="00FB2425">
        <w:rPr>
          <w:color w:val="000000"/>
        </w:rPr>
        <w:t xml:space="preserve">. Após fazer-se uso desta otimização do modelo </w:t>
      </w:r>
      <w:r w:rsidR="00FB2425" w:rsidRPr="00FB2425">
        <w:rPr>
          <w:i/>
          <w:iCs/>
          <w:color w:val="000000"/>
        </w:rPr>
        <w:t>K-</w:t>
      </w:r>
      <w:proofErr w:type="spellStart"/>
      <w:r w:rsidR="00FB2425" w:rsidRPr="00FB2425">
        <w:rPr>
          <w:i/>
          <w:iCs/>
          <w:color w:val="000000"/>
        </w:rPr>
        <w:t>means</w:t>
      </w:r>
      <w:proofErr w:type="spellEnd"/>
      <w:r w:rsidR="00FB2425" w:rsidRPr="00FB2425">
        <w:rPr>
          <w:i/>
          <w:iCs/>
          <w:color w:val="000000"/>
        </w:rPr>
        <w:t xml:space="preserve"> </w:t>
      </w:r>
      <w:r w:rsidR="00FB2425" w:rsidRPr="00FB2425">
        <w:rPr>
          <w:color w:val="000000"/>
        </w:rPr>
        <w:t>aliada à inserção de uma semente, escolheu-se a posição inicial dos centróides aleatoriamente, e rodou-se 1</w:t>
      </w:r>
      <w:r w:rsidR="00AA6B02">
        <w:rPr>
          <w:color w:val="000000"/>
        </w:rPr>
        <w:t>00</w:t>
      </w:r>
      <w:r w:rsidR="00FB2425" w:rsidRPr="00FB2425">
        <w:rPr>
          <w:color w:val="000000"/>
        </w:rPr>
        <w:t xml:space="preserve"> (</w:t>
      </w:r>
      <w:r w:rsidR="00AA6B02">
        <w:rPr>
          <w:color w:val="000000"/>
        </w:rPr>
        <w:t>cem</w:t>
      </w:r>
      <w:r w:rsidR="00FB2425" w:rsidRPr="00FB2425">
        <w:rPr>
          <w:color w:val="000000"/>
        </w:rPr>
        <w:t>) inicializações sucessivas. Esta quantidade elevada objetivou mitigar a variabilidade da posição inicial dos centróides, de modo a se utilizar os centróides mais frequentes nas iterações realizadas.</w:t>
      </w:r>
    </w:p>
    <w:p w14:paraId="5414062E" w14:textId="77777777" w:rsidR="00FB2425" w:rsidRPr="00FB2425" w:rsidRDefault="00FB2425" w:rsidP="00FB2425">
      <w:pPr>
        <w:ind w:firstLine="720"/>
        <w:jc w:val="both"/>
        <w:rPr>
          <w:color w:val="000000"/>
        </w:rPr>
      </w:pPr>
      <w:r w:rsidRPr="00FB2425">
        <w:rPr>
          <w:color w:val="000000"/>
        </w:rPr>
        <w:t xml:space="preserve">Por fim, valeu-se da ACP, para que, por meio da fixação de 2 (duas) variáveis que maximizassem a variabilidade dos dados, obtivesse a melhor visualização gráfica em um plano cartesiano dos </w:t>
      </w:r>
      <w:r w:rsidRPr="00FB2425">
        <w:rPr>
          <w:i/>
          <w:iCs/>
          <w:color w:val="000000"/>
        </w:rPr>
        <w:t xml:space="preserve">clusters </w:t>
      </w:r>
      <w:r w:rsidRPr="00FB2425">
        <w:rPr>
          <w:color w:val="000000"/>
        </w:rPr>
        <w:t>gerados.</w:t>
      </w:r>
    </w:p>
    <w:p w14:paraId="6AC7203B" w14:textId="77777777" w:rsidR="004C0F51" w:rsidRDefault="004C0F51" w:rsidP="00FB2425">
      <w:pPr>
        <w:jc w:val="both"/>
        <w:rPr>
          <w:color w:val="000000"/>
        </w:rPr>
      </w:pPr>
    </w:p>
    <w:p w14:paraId="742C7469" w14:textId="3F1607DF" w:rsidR="004C0F51" w:rsidRDefault="004C0F51" w:rsidP="004C0F51">
      <w:pPr>
        <w:pStyle w:val="Ttulo1"/>
        <w:spacing w:after="0" w:line="240" w:lineRule="auto"/>
        <w:ind w:left="-5"/>
        <w:rPr>
          <w:lang w:val="pt-BR"/>
        </w:rPr>
      </w:pPr>
      <w:r>
        <w:rPr>
          <w:lang w:val="pt-BR"/>
        </w:rPr>
        <w:t>4. APRESENTAÇÃO E ANÁLISE DOS RESULTADOS</w:t>
      </w:r>
    </w:p>
    <w:p w14:paraId="4B38C044" w14:textId="77777777" w:rsidR="000C492E" w:rsidRPr="000C492E" w:rsidRDefault="000C492E" w:rsidP="000C492E">
      <w:pPr>
        <w:rPr>
          <w:lang w:eastAsia="en-US"/>
        </w:rPr>
      </w:pPr>
    </w:p>
    <w:p w14:paraId="11EF0B6E" w14:textId="7D926E99" w:rsidR="00276D46" w:rsidRDefault="00FB2425" w:rsidP="00200F84">
      <w:pPr>
        <w:ind w:firstLine="720"/>
        <w:jc w:val="both"/>
        <w:rPr>
          <w:color w:val="000000"/>
        </w:rPr>
      </w:pPr>
      <w:r w:rsidRPr="00FB2425">
        <w:rPr>
          <w:color w:val="000000"/>
        </w:rPr>
        <w:t xml:space="preserve">Após todos os procedimentos descritos na seção predecessora - aplicação do método </w:t>
      </w:r>
      <w:proofErr w:type="spellStart"/>
      <w:r w:rsidRPr="00FB2425">
        <w:rPr>
          <w:i/>
          <w:iCs/>
          <w:color w:val="000000"/>
        </w:rPr>
        <w:t>Elbow</w:t>
      </w:r>
      <w:proofErr w:type="spellEnd"/>
      <w:r w:rsidRPr="00FB2425">
        <w:rPr>
          <w:color w:val="000000"/>
        </w:rPr>
        <w:t>, aliada à sua otimização e às repetitivas inicializações (100, exatamente), indicou-se o número ideal de (</w:t>
      </w:r>
      <w:r w:rsidR="00AA6B02">
        <w:rPr>
          <w:color w:val="000000"/>
        </w:rPr>
        <w:t>cinco</w:t>
      </w:r>
      <w:r w:rsidRPr="00FB2425">
        <w:rPr>
          <w:color w:val="000000"/>
        </w:rPr>
        <w:t xml:space="preserve">) </w:t>
      </w:r>
      <w:r w:rsidRPr="00FB2425">
        <w:rPr>
          <w:i/>
          <w:iCs/>
          <w:color w:val="000000"/>
        </w:rPr>
        <w:t>clusters</w:t>
      </w:r>
      <w:r w:rsidRPr="00FB2425">
        <w:rPr>
          <w:color w:val="000000"/>
        </w:rPr>
        <w:t xml:space="preserve">, exemplificados graficamente pela </w:t>
      </w:r>
      <w:r w:rsidR="00CC4707">
        <w:rPr>
          <w:color w:val="000000"/>
        </w:rPr>
        <w:t>f</w:t>
      </w:r>
      <w:r w:rsidRPr="00FB2425">
        <w:rPr>
          <w:color w:val="000000"/>
        </w:rPr>
        <w:t>igura a seguir mediante o uso da ACP.</w:t>
      </w:r>
    </w:p>
    <w:p w14:paraId="0A0D50F0" w14:textId="3658C991" w:rsidR="004C0F51" w:rsidRDefault="004C0F51" w:rsidP="000C492E">
      <w:pPr>
        <w:pageBreakBefore/>
        <w:rPr>
          <w:b/>
          <w:bCs/>
          <w:color w:val="000000"/>
          <w:sz w:val="20"/>
          <w:szCs w:val="20"/>
        </w:rPr>
      </w:pPr>
      <w:r>
        <w:rPr>
          <w:b/>
          <w:bCs/>
          <w:color w:val="000000"/>
          <w:sz w:val="20"/>
          <w:szCs w:val="20"/>
        </w:rPr>
        <w:lastRenderedPageBreak/>
        <w:t xml:space="preserve">Figura </w:t>
      </w:r>
      <w:r w:rsidR="00DA4941">
        <w:rPr>
          <w:b/>
          <w:bCs/>
          <w:color w:val="000000"/>
          <w:sz w:val="20"/>
          <w:szCs w:val="20"/>
        </w:rPr>
        <w:t>6</w:t>
      </w:r>
      <w:r>
        <w:rPr>
          <w:b/>
          <w:bCs/>
          <w:color w:val="FF0000"/>
          <w:sz w:val="20"/>
          <w:szCs w:val="20"/>
        </w:rPr>
        <w:t xml:space="preserve"> </w:t>
      </w:r>
      <w:r>
        <w:rPr>
          <w:b/>
          <w:bCs/>
          <w:color w:val="000000"/>
          <w:sz w:val="20"/>
          <w:szCs w:val="20"/>
        </w:rPr>
        <w:t xml:space="preserve">- Visualização gráfica dos </w:t>
      </w:r>
      <w:r w:rsidRPr="002359D5">
        <w:rPr>
          <w:b/>
          <w:bCs/>
          <w:i/>
          <w:iCs/>
          <w:color w:val="000000"/>
          <w:sz w:val="20"/>
          <w:szCs w:val="20"/>
        </w:rPr>
        <w:t>clusters</w:t>
      </w:r>
    </w:p>
    <w:p w14:paraId="3BE6CCCC" w14:textId="1F7E66B2" w:rsidR="004C0F51" w:rsidRDefault="00F91D54" w:rsidP="004C0F51">
      <w:r>
        <w:rPr>
          <w:noProof/>
        </w:rPr>
        <w:drawing>
          <wp:inline distT="0" distB="0" distL="0" distR="0" wp14:anchorId="4F366D8A" wp14:editId="7B132A0B">
            <wp:extent cx="4380411" cy="4491965"/>
            <wp:effectExtent l="0" t="0" r="1270" b="4445"/>
            <wp:docPr id="6" name="Imagem 6"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10;&#10;Descrição gerad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53437" cy="4566851"/>
                    </a:xfrm>
                    <a:prstGeom prst="rect">
                      <a:avLst/>
                    </a:prstGeom>
                  </pic:spPr>
                </pic:pic>
              </a:graphicData>
            </a:graphic>
          </wp:inline>
        </w:drawing>
      </w:r>
    </w:p>
    <w:p w14:paraId="204B7E23" w14:textId="6C90FDFE" w:rsidR="004C0F51" w:rsidRDefault="004C0F51" w:rsidP="004C0F51">
      <w:pPr>
        <w:spacing w:after="240"/>
        <w:rPr>
          <w:color w:val="000000"/>
          <w:sz w:val="18"/>
          <w:szCs w:val="18"/>
        </w:rPr>
      </w:pPr>
      <w:r>
        <w:rPr>
          <w:sz w:val="18"/>
          <w:szCs w:val="18"/>
        </w:rPr>
        <w:t xml:space="preserve">Fonte: </w:t>
      </w:r>
      <w:r>
        <w:rPr>
          <w:color w:val="000000"/>
          <w:sz w:val="18"/>
          <w:szCs w:val="18"/>
        </w:rPr>
        <w:t xml:space="preserve"> </w:t>
      </w:r>
      <w:r w:rsidR="00C72EFE">
        <w:rPr>
          <w:sz w:val="18"/>
          <w:szCs w:val="18"/>
        </w:rPr>
        <w:t>Elaborado pelo autor (2022).</w:t>
      </w:r>
    </w:p>
    <w:p w14:paraId="5EBF2B1E" w14:textId="184BF84C" w:rsidR="001604C9" w:rsidRDefault="001604C9" w:rsidP="004C0F51">
      <w:pPr>
        <w:spacing w:after="240"/>
        <w:rPr>
          <w:color w:val="000000"/>
        </w:rPr>
      </w:pPr>
      <w:r>
        <w:rPr>
          <w:color w:val="000000"/>
          <w:sz w:val="18"/>
          <w:szCs w:val="18"/>
        </w:rPr>
        <w:tab/>
      </w:r>
      <w:r w:rsidRPr="001604C9">
        <w:rPr>
          <w:color w:val="000000"/>
        </w:rPr>
        <w:t>A figura</w:t>
      </w:r>
      <w:r w:rsidR="00276D46">
        <w:rPr>
          <w:color w:val="000000"/>
        </w:rPr>
        <w:t xml:space="preserve"> a</w:t>
      </w:r>
      <w:r w:rsidR="00011E06">
        <w:rPr>
          <w:color w:val="000000"/>
        </w:rPr>
        <w:t>baixo</w:t>
      </w:r>
      <w:r w:rsidR="00276D46">
        <w:rPr>
          <w:color w:val="000000"/>
        </w:rPr>
        <w:t xml:space="preserve"> </w:t>
      </w:r>
      <w:r w:rsidR="00011E06">
        <w:rPr>
          <w:color w:val="000000"/>
        </w:rPr>
        <w:t>permite</w:t>
      </w:r>
      <w:r w:rsidR="00276D46">
        <w:rPr>
          <w:color w:val="000000"/>
        </w:rPr>
        <w:t xml:space="preserve"> uma visão mais nítida dos </w:t>
      </w:r>
      <w:r w:rsidR="00276D46">
        <w:rPr>
          <w:i/>
          <w:iCs/>
          <w:color w:val="000000"/>
        </w:rPr>
        <w:t>clusters</w:t>
      </w:r>
      <w:r w:rsidR="00276D46">
        <w:rPr>
          <w:color w:val="000000"/>
        </w:rPr>
        <w:t>:</w:t>
      </w:r>
    </w:p>
    <w:p w14:paraId="47CEE965" w14:textId="2CC56964" w:rsidR="00011E06" w:rsidRDefault="00011E06" w:rsidP="000C492E">
      <w:pPr>
        <w:rPr>
          <w:b/>
          <w:bCs/>
          <w:color w:val="000000"/>
          <w:sz w:val="20"/>
          <w:szCs w:val="20"/>
        </w:rPr>
      </w:pPr>
      <w:r>
        <w:rPr>
          <w:b/>
          <w:bCs/>
          <w:color w:val="000000"/>
          <w:sz w:val="20"/>
          <w:szCs w:val="20"/>
        </w:rPr>
        <w:t>Figura 7</w:t>
      </w:r>
      <w:r>
        <w:rPr>
          <w:b/>
          <w:bCs/>
          <w:color w:val="FF0000"/>
          <w:sz w:val="20"/>
          <w:szCs w:val="20"/>
        </w:rPr>
        <w:t xml:space="preserve"> </w:t>
      </w:r>
      <w:r>
        <w:rPr>
          <w:b/>
          <w:bCs/>
          <w:color w:val="000000"/>
          <w:sz w:val="20"/>
          <w:szCs w:val="20"/>
        </w:rPr>
        <w:t xml:space="preserve">- Visualização focalizada dos </w:t>
      </w:r>
      <w:r w:rsidRPr="002359D5">
        <w:rPr>
          <w:b/>
          <w:bCs/>
          <w:i/>
          <w:iCs/>
          <w:color w:val="000000"/>
          <w:sz w:val="20"/>
          <w:szCs w:val="20"/>
        </w:rPr>
        <w:t>clusters</w:t>
      </w:r>
    </w:p>
    <w:p w14:paraId="410DC1C1" w14:textId="7921797E" w:rsidR="00011E06" w:rsidRDefault="00011E06" w:rsidP="004C0F51">
      <w:pPr>
        <w:spacing w:after="240"/>
        <w:rPr>
          <w:color w:val="000000"/>
        </w:rPr>
      </w:pPr>
    </w:p>
    <w:p w14:paraId="107A399A" w14:textId="79A16B39" w:rsidR="00276D46" w:rsidRDefault="00011E06" w:rsidP="004C0F51">
      <w:pPr>
        <w:spacing w:after="240"/>
        <w:rPr>
          <w:sz w:val="18"/>
          <w:szCs w:val="18"/>
        </w:rPr>
      </w:pPr>
      <w:r>
        <w:rPr>
          <w:noProof/>
          <w:sz w:val="18"/>
          <w:szCs w:val="18"/>
        </w:rPr>
        <w:drawing>
          <wp:inline distT="0" distB="0" distL="0" distR="0" wp14:anchorId="409B73BA" wp14:editId="3DAF4FE5">
            <wp:extent cx="3309257" cy="2788355"/>
            <wp:effectExtent l="0" t="0" r="5715" b="5715"/>
            <wp:docPr id="9" name="Imagem 9"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Gráfico, Gráfico de dispersão&#10;&#10;Descrição gerad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3325537" cy="2802073"/>
                    </a:xfrm>
                    <a:prstGeom prst="rect">
                      <a:avLst/>
                    </a:prstGeom>
                  </pic:spPr>
                </pic:pic>
              </a:graphicData>
            </a:graphic>
          </wp:inline>
        </w:drawing>
      </w:r>
    </w:p>
    <w:p w14:paraId="1D30C84D" w14:textId="1C3E53FC" w:rsidR="00276D46" w:rsidRPr="00B97CED" w:rsidRDefault="00B97CED" w:rsidP="004C0F51">
      <w:pPr>
        <w:spacing w:after="240"/>
        <w:rPr>
          <w:color w:val="000000"/>
          <w:sz w:val="18"/>
          <w:szCs w:val="18"/>
        </w:rPr>
      </w:pPr>
      <w:r>
        <w:rPr>
          <w:sz w:val="18"/>
          <w:szCs w:val="18"/>
        </w:rPr>
        <w:t xml:space="preserve">Fonte: </w:t>
      </w:r>
      <w:r>
        <w:rPr>
          <w:color w:val="000000"/>
          <w:sz w:val="18"/>
          <w:szCs w:val="18"/>
        </w:rPr>
        <w:t xml:space="preserve"> </w:t>
      </w:r>
      <w:r w:rsidR="00C72EFE">
        <w:rPr>
          <w:sz w:val="18"/>
          <w:szCs w:val="18"/>
        </w:rPr>
        <w:t>Elaborado pelo autor (2022).</w:t>
      </w:r>
    </w:p>
    <w:p w14:paraId="0B32B7E5" w14:textId="02EF1EBB" w:rsidR="004C0F51" w:rsidRPr="00D7037C" w:rsidRDefault="004C0F51" w:rsidP="004C0F51">
      <w:pPr>
        <w:ind w:firstLine="720"/>
        <w:jc w:val="both"/>
        <w:rPr>
          <w:color w:val="000000"/>
        </w:rPr>
      </w:pPr>
      <w:r>
        <w:rPr>
          <w:color w:val="000000"/>
        </w:rPr>
        <w:lastRenderedPageBreak/>
        <w:t xml:space="preserve">Importante mencionar que os </w:t>
      </w:r>
      <w:r>
        <w:rPr>
          <w:i/>
          <w:iCs/>
          <w:color w:val="000000"/>
        </w:rPr>
        <w:t xml:space="preserve">clusters </w:t>
      </w:r>
      <w:r w:rsidRPr="00140B1E">
        <w:rPr>
          <w:color w:val="000000"/>
        </w:rPr>
        <w:t>cont</w:t>
      </w:r>
      <w:r w:rsidR="00140B1E">
        <w:rPr>
          <w:color w:val="000000"/>
        </w:rPr>
        <w:t>ê</w:t>
      </w:r>
      <w:r w:rsidRPr="00140B1E">
        <w:rPr>
          <w:color w:val="000000"/>
        </w:rPr>
        <w:t>m</w:t>
      </w:r>
      <w:r>
        <w:rPr>
          <w:color w:val="000000"/>
        </w:rPr>
        <w:t xml:space="preserve"> processos de pagamento, e não, organizações militares. Desta feita, uma organização militar pode ter </w:t>
      </w:r>
      <w:r w:rsidR="006C3CB4">
        <w:rPr>
          <w:color w:val="000000"/>
        </w:rPr>
        <w:t xml:space="preserve">todos os </w:t>
      </w:r>
      <w:r>
        <w:rPr>
          <w:color w:val="000000"/>
        </w:rPr>
        <w:t xml:space="preserve">processos </w:t>
      </w:r>
      <w:r w:rsidR="006C3CB4">
        <w:rPr>
          <w:color w:val="000000"/>
        </w:rPr>
        <w:t xml:space="preserve">que apresentaram alterações </w:t>
      </w:r>
      <w:r>
        <w:rPr>
          <w:color w:val="000000"/>
        </w:rPr>
        <w:t xml:space="preserve">em um só </w:t>
      </w:r>
      <w:r>
        <w:rPr>
          <w:i/>
          <w:iCs/>
          <w:color w:val="000000"/>
        </w:rPr>
        <w:t>cluster</w:t>
      </w:r>
      <w:r>
        <w:rPr>
          <w:color w:val="000000"/>
        </w:rPr>
        <w:t xml:space="preserve"> ou distribuídos em mais de um</w:t>
      </w:r>
      <w:r>
        <w:rPr>
          <w:i/>
          <w:iCs/>
          <w:color w:val="000000"/>
        </w:rPr>
        <w:t>.</w:t>
      </w:r>
      <w:r>
        <w:rPr>
          <w:color w:val="000000"/>
        </w:rPr>
        <w:t xml:space="preserve"> A </w:t>
      </w:r>
      <w:r w:rsidR="00A63C02">
        <w:rPr>
          <w:color w:val="000000"/>
        </w:rPr>
        <w:t>t</w:t>
      </w:r>
      <w:r>
        <w:rPr>
          <w:color w:val="000000"/>
        </w:rPr>
        <w:t xml:space="preserve">abela a seguir demonstra quantos processos totais existem em cada </w:t>
      </w:r>
      <w:r w:rsidRPr="0000793D">
        <w:rPr>
          <w:i/>
          <w:iCs/>
          <w:color w:val="000000"/>
        </w:rPr>
        <w:t>cluster</w:t>
      </w:r>
      <w:r w:rsidR="00EE052B">
        <w:rPr>
          <w:color w:val="000000"/>
        </w:rPr>
        <w:t>.</w:t>
      </w:r>
    </w:p>
    <w:p w14:paraId="33C581FE" w14:textId="77777777" w:rsidR="004C0F51" w:rsidRDefault="004C0F51" w:rsidP="004C0F51">
      <w:pPr>
        <w:jc w:val="both"/>
        <w:rPr>
          <w:color w:val="000000"/>
        </w:rPr>
      </w:pPr>
    </w:p>
    <w:p w14:paraId="3B18B0C9" w14:textId="06AD1878" w:rsidR="004C0F51" w:rsidRPr="007A3CBE" w:rsidRDefault="004C0F51" w:rsidP="004C0F51">
      <w:pPr>
        <w:rPr>
          <w:b/>
          <w:bCs/>
          <w:color w:val="000000"/>
          <w:sz w:val="20"/>
          <w:szCs w:val="20"/>
        </w:rPr>
      </w:pPr>
      <w:r>
        <w:rPr>
          <w:b/>
          <w:bCs/>
          <w:color w:val="000000"/>
          <w:sz w:val="20"/>
          <w:szCs w:val="20"/>
        </w:rPr>
        <w:t xml:space="preserve">   </w:t>
      </w:r>
      <w:r w:rsidR="00124F6F">
        <w:rPr>
          <w:b/>
          <w:bCs/>
          <w:color w:val="000000"/>
          <w:sz w:val="20"/>
          <w:szCs w:val="20"/>
        </w:rPr>
        <w:t xml:space="preserve">            </w:t>
      </w:r>
      <w:r>
        <w:rPr>
          <w:b/>
          <w:bCs/>
          <w:color w:val="000000"/>
          <w:sz w:val="20"/>
          <w:szCs w:val="20"/>
        </w:rPr>
        <w:t xml:space="preserve">Tabela 2 - Quantidades Total de Processos por </w:t>
      </w:r>
      <w:r w:rsidRPr="00D43151">
        <w:rPr>
          <w:b/>
          <w:bCs/>
          <w:i/>
          <w:iCs/>
          <w:color w:val="000000"/>
          <w:sz w:val="20"/>
          <w:szCs w:val="20"/>
        </w:rPr>
        <w:t>Cluster</w:t>
      </w:r>
    </w:p>
    <w:tbl>
      <w:tblPr>
        <w:tblW w:w="0" w:type="auto"/>
        <w:jc w:val="center"/>
        <w:tblCellMar>
          <w:top w:w="15" w:type="dxa"/>
          <w:left w:w="15" w:type="dxa"/>
          <w:bottom w:w="15" w:type="dxa"/>
          <w:right w:w="15" w:type="dxa"/>
        </w:tblCellMar>
        <w:tblLook w:val="04A0" w:firstRow="1" w:lastRow="0" w:firstColumn="1" w:lastColumn="0" w:noHBand="0" w:noVBand="1"/>
      </w:tblPr>
      <w:tblGrid>
        <w:gridCol w:w="2854"/>
        <w:gridCol w:w="4681"/>
      </w:tblGrid>
      <w:tr w:rsidR="00FB2425" w:rsidRPr="00FB2425" w14:paraId="451F80DB" w14:textId="77777777" w:rsidTr="0043130C">
        <w:trPr>
          <w:jc w:val="center"/>
        </w:trPr>
        <w:tc>
          <w:tcPr>
            <w:tcW w:w="0" w:type="auto"/>
            <w:tcBorders>
              <w:top w:val="single" w:sz="8" w:space="0" w:color="000000"/>
              <w:bottom w:val="single" w:sz="8" w:space="0" w:color="000000"/>
            </w:tcBorders>
            <w:shd w:val="clear" w:color="auto" w:fill="D0CECE"/>
            <w:tcMar>
              <w:top w:w="100" w:type="dxa"/>
              <w:left w:w="100" w:type="dxa"/>
              <w:bottom w:w="100" w:type="dxa"/>
              <w:right w:w="100" w:type="dxa"/>
            </w:tcMar>
            <w:hideMark/>
          </w:tcPr>
          <w:p w14:paraId="3CABF1E1" w14:textId="77777777" w:rsidR="00FB2425" w:rsidRPr="00FB2425" w:rsidRDefault="00FB2425" w:rsidP="00FB2425">
            <w:pPr>
              <w:jc w:val="center"/>
            </w:pPr>
            <w:r w:rsidRPr="00FB2425">
              <w:rPr>
                <w:b/>
                <w:bCs/>
                <w:color w:val="000000"/>
              </w:rPr>
              <w:t xml:space="preserve">NÚMERO DO </w:t>
            </w:r>
            <w:r w:rsidRPr="00FB2425">
              <w:rPr>
                <w:b/>
                <w:bCs/>
                <w:i/>
                <w:iCs/>
                <w:color w:val="000000"/>
              </w:rPr>
              <w:t>CLUSTER</w:t>
            </w:r>
          </w:p>
        </w:tc>
        <w:tc>
          <w:tcPr>
            <w:tcW w:w="0" w:type="auto"/>
            <w:tcBorders>
              <w:top w:val="single" w:sz="8" w:space="0" w:color="000000"/>
              <w:left w:val="nil"/>
              <w:bottom w:val="single" w:sz="8" w:space="0" w:color="000000"/>
            </w:tcBorders>
            <w:shd w:val="clear" w:color="auto" w:fill="D0CECE"/>
            <w:tcMar>
              <w:top w:w="100" w:type="dxa"/>
              <w:left w:w="100" w:type="dxa"/>
              <w:bottom w:w="100" w:type="dxa"/>
              <w:right w:w="100" w:type="dxa"/>
            </w:tcMar>
            <w:hideMark/>
          </w:tcPr>
          <w:p w14:paraId="2B6B0EB2" w14:textId="77777777" w:rsidR="00FB2425" w:rsidRPr="00FB2425" w:rsidRDefault="00FB2425" w:rsidP="00FB2425">
            <w:pPr>
              <w:jc w:val="center"/>
            </w:pPr>
            <w:r w:rsidRPr="00FB2425">
              <w:rPr>
                <w:b/>
                <w:bCs/>
                <w:color w:val="000000"/>
              </w:rPr>
              <w:t>QUANTIDADE TOTAL DE PROCESSOS </w:t>
            </w:r>
          </w:p>
        </w:tc>
      </w:tr>
      <w:tr w:rsidR="00FB2425" w:rsidRPr="00FB2425" w14:paraId="2B63774D" w14:textId="77777777" w:rsidTr="0043130C">
        <w:trPr>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649F2241" w14:textId="77777777" w:rsidR="00FB2425" w:rsidRPr="00FB2425" w:rsidRDefault="00FB2425" w:rsidP="00FB2425">
            <w:pPr>
              <w:jc w:val="center"/>
            </w:pPr>
            <w:r w:rsidRPr="00FB2425">
              <w:rPr>
                <w:color w:val="000000"/>
              </w:rPr>
              <w:t>0</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47F20981" w14:textId="7529F411" w:rsidR="00FB2425" w:rsidRPr="00FB2425" w:rsidRDefault="00F45D40" w:rsidP="00FB2425">
            <w:pPr>
              <w:jc w:val="center"/>
            </w:pPr>
            <w:r>
              <w:t>198</w:t>
            </w:r>
          </w:p>
        </w:tc>
      </w:tr>
      <w:tr w:rsidR="00FB2425" w:rsidRPr="00FB2425" w14:paraId="4D2E27D9" w14:textId="77777777" w:rsidTr="0043130C">
        <w:trPr>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21E48BDB" w14:textId="77777777" w:rsidR="00FB2425" w:rsidRPr="00FB2425" w:rsidRDefault="00FB2425" w:rsidP="00FB2425">
            <w:pPr>
              <w:jc w:val="center"/>
            </w:pPr>
            <w:bookmarkStart w:id="0" w:name="_Hlk118750308"/>
            <w:r w:rsidRPr="00FB2425">
              <w:rPr>
                <w:color w:val="000000"/>
              </w:rPr>
              <w:t>1</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57D623F4" w14:textId="73C032E9" w:rsidR="00FB2425" w:rsidRPr="00FB2425" w:rsidRDefault="00F45D40" w:rsidP="00FB2425">
            <w:pPr>
              <w:jc w:val="center"/>
            </w:pPr>
            <w:r>
              <w:t>193</w:t>
            </w:r>
          </w:p>
        </w:tc>
      </w:tr>
      <w:tr w:rsidR="00FB2425" w:rsidRPr="00FB2425" w14:paraId="56F39C63" w14:textId="77777777" w:rsidTr="0043130C">
        <w:trPr>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7EBB925C" w14:textId="471FAE53" w:rsidR="00FB2425" w:rsidRPr="00FB2425" w:rsidRDefault="00FB2425" w:rsidP="00FB2425">
            <w:pPr>
              <w:jc w:val="center"/>
            </w:pPr>
            <w:r w:rsidRPr="00FB2425">
              <w:rPr>
                <w:color w:val="000000"/>
              </w:rPr>
              <w:t>2</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7CEACE27" w14:textId="4AF38A56" w:rsidR="00FB2425" w:rsidRPr="00FB2425" w:rsidRDefault="00F45D40" w:rsidP="00FB2425">
            <w:pPr>
              <w:jc w:val="center"/>
            </w:pPr>
            <w:r>
              <w:t>3839</w:t>
            </w:r>
          </w:p>
        </w:tc>
      </w:tr>
      <w:tr w:rsidR="00A43F74" w:rsidRPr="00FB2425" w14:paraId="0DEE753B" w14:textId="77777777" w:rsidTr="0043130C">
        <w:trPr>
          <w:jc w:val="center"/>
        </w:trPr>
        <w:tc>
          <w:tcPr>
            <w:tcW w:w="0" w:type="auto"/>
            <w:tcBorders>
              <w:top w:val="single" w:sz="8" w:space="0" w:color="000000"/>
              <w:bottom w:val="single" w:sz="8" w:space="0" w:color="000000"/>
            </w:tcBorders>
            <w:tcMar>
              <w:top w:w="100" w:type="dxa"/>
              <w:left w:w="100" w:type="dxa"/>
              <w:bottom w:w="100" w:type="dxa"/>
              <w:right w:w="100" w:type="dxa"/>
            </w:tcMar>
          </w:tcPr>
          <w:p w14:paraId="2731EAF6" w14:textId="5AE5453A" w:rsidR="00A43F74" w:rsidRPr="00FB2425" w:rsidRDefault="00A43F74" w:rsidP="00A43F74">
            <w:pPr>
              <w:jc w:val="center"/>
              <w:rPr>
                <w:color w:val="000000"/>
              </w:rPr>
            </w:pPr>
            <w:r w:rsidRPr="00FB2425">
              <w:rPr>
                <w:color w:val="000000"/>
              </w:rPr>
              <w:t>3</w:t>
            </w:r>
          </w:p>
        </w:tc>
        <w:tc>
          <w:tcPr>
            <w:tcW w:w="0" w:type="auto"/>
            <w:tcBorders>
              <w:top w:val="single" w:sz="8" w:space="0" w:color="000000"/>
              <w:left w:val="nil"/>
              <w:bottom w:val="single" w:sz="8" w:space="0" w:color="000000"/>
            </w:tcBorders>
            <w:tcMar>
              <w:top w:w="100" w:type="dxa"/>
              <w:left w:w="100" w:type="dxa"/>
              <w:bottom w:w="100" w:type="dxa"/>
              <w:right w:w="100" w:type="dxa"/>
            </w:tcMar>
          </w:tcPr>
          <w:p w14:paraId="410F95B1" w14:textId="289DA5F4" w:rsidR="00A43F74" w:rsidRDefault="00A43F74" w:rsidP="00A43F74">
            <w:pPr>
              <w:jc w:val="center"/>
            </w:pPr>
            <w:r>
              <w:t>2</w:t>
            </w:r>
          </w:p>
        </w:tc>
      </w:tr>
      <w:tr w:rsidR="00A43F74" w:rsidRPr="00FB2425" w14:paraId="5CF74514" w14:textId="77777777" w:rsidTr="0043130C">
        <w:trPr>
          <w:jc w:val="center"/>
        </w:trPr>
        <w:tc>
          <w:tcPr>
            <w:tcW w:w="0" w:type="auto"/>
            <w:tcBorders>
              <w:top w:val="single" w:sz="8" w:space="0" w:color="000000"/>
              <w:bottom w:val="single" w:sz="8" w:space="0" w:color="000000"/>
            </w:tcBorders>
            <w:tcMar>
              <w:top w:w="100" w:type="dxa"/>
              <w:left w:w="100" w:type="dxa"/>
              <w:bottom w:w="100" w:type="dxa"/>
              <w:right w:w="100" w:type="dxa"/>
            </w:tcMar>
          </w:tcPr>
          <w:p w14:paraId="05001111" w14:textId="42F439FD" w:rsidR="00A43F74" w:rsidRPr="00FB2425" w:rsidRDefault="00A43F74" w:rsidP="00A43F74">
            <w:pPr>
              <w:jc w:val="center"/>
              <w:rPr>
                <w:color w:val="000000"/>
              </w:rPr>
            </w:pPr>
            <w:r>
              <w:rPr>
                <w:color w:val="000000"/>
              </w:rPr>
              <w:t>4</w:t>
            </w:r>
          </w:p>
        </w:tc>
        <w:tc>
          <w:tcPr>
            <w:tcW w:w="0" w:type="auto"/>
            <w:tcBorders>
              <w:top w:val="single" w:sz="8" w:space="0" w:color="000000"/>
              <w:left w:val="nil"/>
              <w:bottom w:val="single" w:sz="8" w:space="0" w:color="000000"/>
            </w:tcBorders>
            <w:tcMar>
              <w:top w:w="100" w:type="dxa"/>
              <w:left w:w="100" w:type="dxa"/>
              <w:bottom w:w="100" w:type="dxa"/>
              <w:right w:w="100" w:type="dxa"/>
            </w:tcMar>
          </w:tcPr>
          <w:p w14:paraId="6E9B757E" w14:textId="2E61692A" w:rsidR="00A43F74" w:rsidRDefault="00A43F74" w:rsidP="00A43F74">
            <w:pPr>
              <w:jc w:val="center"/>
            </w:pPr>
            <w:r>
              <w:t>45</w:t>
            </w:r>
          </w:p>
        </w:tc>
      </w:tr>
    </w:tbl>
    <w:bookmarkEnd w:id="0"/>
    <w:p w14:paraId="6659E4EA" w14:textId="4AC4D208" w:rsidR="00A43F74" w:rsidRDefault="00124F6F" w:rsidP="004C0F51">
      <w:pPr>
        <w:rPr>
          <w:b/>
          <w:bCs/>
          <w:color w:val="000000"/>
          <w:sz w:val="20"/>
          <w:szCs w:val="20"/>
        </w:rPr>
      </w:pPr>
      <w:r>
        <w:rPr>
          <w:color w:val="000000"/>
          <w:sz w:val="18"/>
          <w:szCs w:val="18"/>
        </w:rPr>
        <w:t xml:space="preserve">              </w:t>
      </w:r>
      <w:r w:rsidR="00974FD8">
        <w:rPr>
          <w:b/>
          <w:bCs/>
          <w:color w:val="000000"/>
          <w:sz w:val="20"/>
          <w:szCs w:val="20"/>
        </w:rPr>
        <w:t xml:space="preserve">   </w:t>
      </w:r>
      <w:r w:rsidR="00A43F74">
        <w:rPr>
          <w:color w:val="000000"/>
          <w:sz w:val="18"/>
          <w:szCs w:val="18"/>
        </w:rPr>
        <w:t xml:space="preserve">Fonte: </w:t>
      </w:r>
      <w:r w:rsidR="007335EC">
        <w:rPr>
          <w:sz w:val="18"/>
          <w:szCs w:val="18"/>
        </w:rPr>
        <w:t>Elaborado pelo autor (2022).</w:t>
      </w:r>
    </w:p>
    <w:p w14:paraId="1B1AA389" w14:textId="0D08F42B" w:rsidR="00124F6F" w:rsidRPr="00A43F74" w:rsidRDefault="00124F6F" w:rsidP="00A43F74">
      <w:pPr>
        <w:rPr>
          <w:color w:val="000000"/>
        </w:rPr>
      </w:pPr>
    </w:p>
    <w:p w14:paraId="68F91FB2" w14:textId="3C54C51C" w:rsidR="004C0F51" w:rsidRPr="008E7C89" w:rsidRDefault="004C0F51" w:rsidP="004C0F51">
      <w:pPr>
        <w:ind w:firstLine="720"/>
        <w:jc w:val="both"/>
        <w:rPr>
          <w:color w:val="000000"/>
        </w:rPr>
      </w:pPr>
      <w:r w:rsidRPr="008E7C89">
        <w:rPr>
          <w:color w:val="000000"/>
        </w:rPr>
        <w:t xml:space="preserve">Após a geração dos </w:t>
      </w:r>
      <w:r w:rsidRPr="008E7C89">
        <w:rPr>
          <w:i/>
          <w:iCs/>
          <w:color w:val="000000"/>
        </w:rPr>
        <w:t>clusters</w:t>
      </w:r>
      <w:r w:rsidRPr="008E7C89">
        <w:rPr>
          <w:color w:val="000000"/>
        </w:rPr>
        <w:t xml:space="preserve">, criou-se um índice de 0 a 1 para saber </w:t>
      </w:r>
      <w:r w:rsidR="008925D3" w:rsidRPr="008E7C89">
        <w:rPr>
          <w:color w:val="000000"/>
        </w:rPr>
        <w:t>a proporção de</w:t>
      </w:r>
      <w:r w:rsidRPr="008E7C89">
        <w:rPr>
          <w:color w:val="000000"/>
        </w:rPr>
        <w:t xml:space="preserve"> processos mensais de cada OM </w:t>
      </w:r>
      <w:r w:rsidR="008925D3" w:rsidRPr="008E7C89">
        <w:rPr>
          <w:color w:val="000000"/>
        </w:rPr>
        <w:t xml:space="preserve">que </w:t>
      </w:r>
      <w:r w:rsidR="001C5B68" w:rsidRPr="008E7C89">
        <w:rPr>
          <w:color w:val="000000"/>
        </w:rPr>
        <w:t>se encontravam</w:t>
      </w:r>
      <w:r w:rsidRPr="008E7C89">
        <w:rPr>
          <w:color w:val="000000"/>
        </w:rPr>
        <w:t xml:space="preserve"> em qualquer um dos </w:t>
      </w:r>
      <w:r w:rsidRPr="008E7C89">
        <w:rPr>
          <w:i/>
          <w:iCs/>
          <w:color w:val="000000"/>
        </w:rPr>
        <w:t>clusters</w:t>
      </w:r>
      <w:r w:rsidRPr="008E7C89">
        <w:rPr>
          <w:color w:val="000000"/>
        </w:rPr>
        <w:t xml:space="preserve">. Quanto mais próximo de 0, menos processos </w:t>
      </w:r>
      <w:r w:rsidR="00D83087" w:rsidRPr="008E7C89">
        <w:rPr>
          <w:color w:val="000000"/>
        </w:rPr>
        <w:t xml:space="preserve">que continham alterações de pagamento </w:t>
      </w:r>
      <w:r w:rsidRPr="008E7C89">
        <w:rPr>
          <w:color w:val="000000"/>
        </w:rPr>
        <w:t xml:space="preserve">encontravam-se no </w:t>
      </w:r>
      <w:r w:rsidRPr="008E7C89">
        <w:rPr>
          <w:i/>
          <w:iCs/>
          <w:color w:val="000000"/>
        </w:rPr>
        <w:t xml:space="preserve">cluster </w:t>
      </w:r>
      <w:r w:rsidRPr="008E7C89">
        <w:rPr>
          <w:color w:val="000000"/>
        </w:rPr>
        <w:t>em análise.</w:t>
      </w:r>
    </w:p>
    <w:p w14:paraId="67A645C2" w14:textId="19B936BB" w:rsidR="004C0F51" w:rsidRDefault="004C0F51" w:rsidP="004C0F51">
      <w:pPr>
        <w:ind w:firstLine="720"/>
        <w:jc w:val="both"/>
        <w:rPr>
          <w:color w:val="000000"/>
        </w:rPr>
      </w:pPr>
      <w:r w:rsidRPr="008E7C89">
        <w:rPr>
          <w:color w:val="000000"/>
        </w:rPr>
        <w:t>Este procedimento pode ser relevante ao CCIMAR para que os auditores internos identifiquem quais processos mensais d</w:t>
      </w:r>
      <w:r w:rsidR="008C50AC" w:rsidRPr="008E7C89">
        <w:rPr>
          <w:color w:val="000000"/>
        </w:rPr>
        <w:t>e determinada</w:t>
      </w:r>
      <w:r w:rsidRPr="008E7C89">
        <w:rPr>
          <w:color w:val="000000"/>
        </w:rPr>
        <w:t xml:space="preserve"> OM destoam dos demais por estarem em </w:t>
      </w:r>
      <w:r w:rsidRPr="008E7C89">
        <w:rPr>
          <w:i/>
          <w:iCs/>
          <w:color w:val="000000"/>
        </w:rPr>
        <w:t>clusters</w:t>
      </w:r>
      <w:r w:rsidRPr="008E7C89">
        <w:rPr>
          <w:color w:val="000000"/>
        </w:rPr>
        <w:t xml:space="preserve"> diferentes. A</w:t>
      </w:r>
      <w:r>
        <w:rPr>
          <w:color w:val="000000"/>
        </w:rPr>
        <w:t xml:space="preserve">ssim, arbitrou-se o valor de 0,3 </w:t>
      </w:r>
      <w:r w:rsidRPr="00C52761">
        <w:rPr>
          <w:color w:val="000000"/>
        </w:rPr>
        <w:t xml:space="preserve">para baixo </w:t>
      </w:r>
      <w:r>
        <w:rPr>
          <w:color w:val="000000"/>
        </w:rPr>
        <w:t xml:space="preserve">como ponto de corte em cada </w:t>
      </w:r>
      <w:r w:rsidRPr="002359D5">
        <w:rPr>
          <w:i/>
          <w:iCs/>
          <w:color w:val="000000"/>
        </w:rPr>
        <w:t>cluster</w:t>
      </w:r>
      <w:r w:rsidR="009B3A70">
        <w:rPr>
          <w:color w:val="000000"/>
        </w:rPr>
        <w:t xml:space="preserve">, de modo que as organizações militares que apresentarem índice menor que 0,3 possuem processos estabelecidos como atípicos, já que apresenta poucos processos no </w:t>
      </w:r>
      <w:r w:rsidR="009B3A70">
        <w:rPr>
          <w:i/>
          <w:iCs/>
          <w:color w:val="000000"/>
        </w:rPr>
        <w:t xml:space="preserve">cluster </w:t>
      </w:r>
      <w:r w:rsidR="009B3A70">
        <w:rPr>
          <w:color w:val="000000"/>
        </w:rPr>
        <w:t>em lide</w:t>
      </w:r>
      <w:r w:rsidR="00CF5B45">
        <w:rPr>
          <w:color w:val="000000"/>
        </w:rPr>
        <w:t xml:space="preserve">. </w:t>
      </w:r>
      <w:r>
        <w:rPr>
          <w:color w:val="000000"/>
        </w:rPr>
        <w:t xml:space="preserve">É válido mencionar que qualquer valor de 0 a 1 pode ser usado como índice, a </w:t>
      </w:r>
      <w:r w:rsidRPr="00F15235">
        <w:rPr>
          <w:color w:val="000000"/>
        </w:rPr>
        <w:t xml:space="preserve">critério </w:t>
      </w:r>
      <w:r>
        <w:rPr>
          <w:color w:val="000000"/>
        </w:rPr>
        <w:t>do CCIMAR.</w:t>
      </w:r>
    </w:p>
    <w:p w14:paraId="70CF2480" w14:textId="3BF1FFF3" w:rsidR="004C0F51" w:rsidRDefault="004C0F51" w:rsidP="004C0F51">
      <w:pPr>
        <w:pStyle w:val="NormalWeb"/>
        <w:spacing w:beforeAutospacing="0" w:afterAutospacing="0"/>
        <w:jc w:val="both"/>
        <w:rPr>
          <w:color w:val="000000"/>
        </w:rPr>
      </w:pPr>
      <w:r>
        <w:rPr>
          <w:color w:val="000000"/>
        </w:rPr>
        <w:tab/>
        <w:t xml:space="preserve">A nova composição dos </w:t>
      </w:r>
      <w:r w:rsidRPr="002B6151">
        <w:rPr>
          <w:i/>
          <w:iCs/>
          <w:color w:val="000000"/>
        </w:rPr>
        <w:t>clusters</w:t>
      </w:r>
      <w:r w:rsidRPr="002B6151">
        <w:rPr>
          <w:color w:val="000000"/>
        </w:rPr>
        <w:t>,</w:t>
      </w:r>
      <w:r>
        <w:rPr>
          <w:color w:val="000000"/>
        </w:rPr>
        <w:t xml:space="preserve"> ao se aplicar o índice, encontra-se na </w:t>
      </w:r>
      <w:r w:rsidR="00A63C02">
        <w:rPr>
          <w:color w:val="000000"/>
        </w:rPr>
        <w:t>t</w:t>
      </w:r>
      <w:r>
        <w:rPr>
          <w:color w:val="000000"/>
        </w:rPr>
        <w:t>abela</w:t>
      </w:r>
      <w:r w:rsidR="004A0DD2">
        <w:rPr>
          <w:color w:val="000000"/>
        </w:rPr>
        <w:t xml:space="preserve"> 3</w:t>
      </w:r>
      <w:r>
        <w:rPr>
          <w:color w:val="000000"/>
        </w:rPr>
        <w:t>:</w:t>
      </w:r>
    </w:p>
    <w:p w14:paraId="55B83A76" w14:textId="77777777" w:rsidR="004C0F51" w:rsidRDefault="004C0F51" w:rsidP="004C0F51">
      <w:pPr>
        <w:jc w:val="center"/>
        <w:rPr>
          <w:b/>
          <w:bCs/>
          <w:color w:val="000000"/>
        </w:rPr>
      </w:pPr>
    </w:p>
    <w:p w14:paraId="17A7935E" w14:textId="6A6CC95C" w:rsidR="004C0F51" w:rsidRDefault="004C0F51" w:rsidP="00AC2514">
      <w:pPr>
        <w:jc w:val="both"/>
        <w:rPr>
          <w:b/>
          <w:bCs/>
          <w:color w:val="000000"/>
          <w:sz w:val="20"/>
          <w:szCs w:val="20"/>
        </w:rPr>
      </w:pPr>
      <w:r>
        <w:rPr>
          <w:b/>
          <w:bCs/>
          <w:color w:val="000000"/>
          <w:sz w:val="20"/>
          <w:szCs w:val="20"/>
        </w:rPr>
        <w:t xml:space="preserve">Tabela 3 - Quantidades de Organizações Militares por </w:t>
      </w:r>
      <w:r w:rsidRPr="008227DC">
        <w:rPr>
          <w:b/>
          <w:bCs/>
          <w:i/>
          <w:iCs/>
          <w:color w:val="000000"/>
          <w:sz w:val="20"/>
          <w:szCs w:val="20"/>
        </w:rPr>
        <w:t>cluster</w:t>
      </w:r>
      <w:r>
        <w:rPr>
          <w:b/>
          <w:bCs/>
          <w:i/>
          <w:iCs/>
          <w:color w:val="000000"/>
          <w:sz w:val="20"/>
          <w:szCs w:val="20"/>
        </w:rPr>
        <w:t xml:space="preserve"> </w:t>
      </w:r>
      <w:r w:rsidRPr="008227DC">
        <w:rPr>
          <w:b/>
          <w:bCs/>
          <w:color w:val="000000"/>
          <w:sz w:val="20"/>
          <w:szCs w:val="20"/>
        </w:rPr>
        <w:t>agrupada</w:t>
      </w:r>
      <w:r w:rsidRPr="008227DC">
        <w:rPr>
          <w:b/>
          <w:bCs/>
          <w:i/>
          <w:iCs/>
          <w:color w:val="000000"/>
          <w:sz w:val="20"/>
          <w:szCs w:val="20"/>
        </w:rPr>
        <w:t>s</w:t>
      </w:r>
      <w:r>
        <w:rPr>
          <w:b/>
          <w:bCs/>
          <w:color w:val="000000"/>
          <w:sz w:val="20"/>
          <w:szCs w:val="20"/>
        </w:rPr>
        <w:t xml:space="preserve"> por valor de índice (</w:t>
      </w:r>
      <w:r w:rsidRPr="008D0EA3">
        <w:rPr>
          <w:b/>
          <w:bCs/>
          <w:color w:val="000000"/>
          <w:sz w:val="20"/>
          <w:szCs w:val="20"/>
        </w:rPr>
        <w:t xml:space="preserve">abaixo </w:t>
      </w:r>
      <w:r>
        <w:rPr>
          <w:b/>
          <w:bCs/>
          <w:color w:val="000000"/>
          <w:sz w:val="20"/>
          <w:szCs w:val="20"/>
        </w:rPr>
        <w:t>de 0,3)</w:t>
      </w:r>
    </w:p>
    <w:tbl>
      <w:tblPr>
        <w:tblW w:w="0" w:type="auto"/>
        <w:tblCellMar>
          <w:top w:w="15" w:type="dxa"/>
          <w:left w:w="15" w:type="dxa"/>
          <w:bottom w:w="15" w:type="dxa"/>
          <w:right w:w="15" w:type="dxa"/>
        </w:tblCellMar>
        <w:tblLook w:val="04A0" w:firstRow="1" w:lastRow="0" w:firstColumn="1" w:lastColumn="0" w:noHBand="0" w:noVBand="1"/>
      </w:tblPr>
      <w:tblGrid>
        <w:gridCol w:w="2412"/>
        <w:gridCol w:w="5707"/>
      </w:tblGrid>
      <w:tr w:rsidR="004662D0" w14:paraId="1CAEA45C" w14:textId="77777777" w:rsidTr="00214DEC">
        <w:trPr>
          <w:trHeight w:val="479"/>
        </w:trPr>
        <w:tc>
          <w:tcPr>
            <w:tcW w:w="0" w:type="auto"/>
            <w:tcBorders>
              <w:top w:val="single" w:sz="8" w:space="0" w:color="000000"/>
              <w:bottom w:val="single" w:sz="8" w:space="0" w:color="000000"/>
            </w:tcBorders>
            <w:shd w:val="clear" w:color="auto" w:fill="D0CECE"/>
            <w:tcMar>
              <w:top w:w="100" w:type="dxa"/>
              <w:left w:w="100" w:type="dxa"/>
              <w:bottom w:w="100" w:type="dxa"/>
              <w:right w:w="100" w:type="dxa"/>
            </w:tcMar>
            <w:hideMark/>
          </w:tcPr>
          <w:p w14:paraId="07FE2687" w14:textId="77777777" w:rsidR="004662D0" w:rsidRPr="00347B03" w:rsidRDefault="004662D0">
            <w:pPr>
              <w:pStyle w:val="NormalWeb"/>
              <w:spacing w:beforeAutospacing="0" w:afterAutospacing="0"/>
              <w:jc w:val="center"/>
              <w:rPr>
                <w:sz w:val="20"/>
                <w:szCs w:val="20"/>
              </w:rPr>
            </w:pPr>
            <w:r w:rsidRPr="00347B03">
              <w:rPr>
                <w:b/>
                <w:bCs/>
                <w:color w:val="000000"/>
                <w:sz w:val="20"/>
                <w:szCs w:val="20"/>
              </w:rPr>
              <w:t xml:space="preserve">NÚMERO DO </w:t>
            </w:r>
            <w:r w:rsidRPr="00347B03">
              <w:rPr>
                <w:b/>
                <w:bCs/>
                <w:i/>
                <w:iCs/>
                <w:color w:val="000000"/>
                <w:sz w:val="20"/>
                <w:szCs w:val="20"/>
              </w:rPr>
              <w:t>CLUSTER</w:t>
            </w:r>
          </w:p>
        </w:tc>
        <w:tc>
          <w:tcPr>
            <w:tcW w:w="0" w:type="auto"/>
            <w:tcBorders>
              <w:top w:val="single" w:sz="8" w:space="0" w:color="000000"/>
              <w:left w:val="nil"/>
              <w:bottom w:val="single" w:sz="8" w:space="0" w:color="000000"/>
            </w:tcBorders>
            <w:shd w:val="clear" w:color="auto" w:fill="D0CECE"/>
            <w:tcMar>
              <w:top w:w="100" w:type="dxa"/>
              <w:left w:w="100" w:type="dxa"/>
              <w:bottom w:w="100" w:type="dxa"/>
              <w:right w:w="100" w:type="dxa"/>
            </w:tcMar>
            <w:hideMark/>
          </w:tcPr>
          <w:p w14:paraId="3C18C0F1" w14:textId="77777777" w:rsidR="004662D0" w:rsidRPr="00347B03" w:rsidRDefault="004662D0">
            <w:pPr>
              <w:pStyle w:val="NormalWeb"/>
              <w:spacing w:beforeAutospacing="0" w:afterAutospacing="0"/>
              <w:jc w:val="center"/>
              <w:rPr>
                <w:sz w:val="20"/>
                <w:szCs w:val="20"/>
              </w:rPr>
            </w:pPr>
            <w:r w:rsidRPr="00347B03">
              <w:rPr>
                <w:b/>
                <w:bCs/>
                <w:color w:val="000000"/>
                <w:sz w:val="20"/>
                <w:szCs w:val="20"/>
              </w:rPr>
              <w:t>QUANTIDADE DE ORGANIZAÇÕES MILITARES – ÍNDICE</w:t>
            </w:r>
          </w:p>
        </w:tc>
      </w:tr>
      <w:tr w:rsidR="004662D0" w14:paraId="76915D1F" w14:textId="77777777" w:rsidTr="00214DEC">
        <w:trPr>
          <w:trHeight w:val="845"/>
        </w:trPr>
        <w:tc>
          <w:tcPr>
            <w:tcW w:w="0" w:type="auto"/>
            <w:tcBorders>
              <w:top w:val="single" w:sz="8" w:space="0" w:color="000000"/>
              <w:bottom w:val="single" w:sz="8" w:space="0" w:color="000000"/>
            </w:tcBorders>
            <w:tcMar>
              <w:top w:w="100" w:type="dxa"/>
              <w:left w:w="100" w:type="dxa"/>
              <w:bottom w:w="100" w:type="dxa"/>
              <w:right w:w="100" w:type="dxa"/>
            </w:tcMar>
            <w:hideMark/>
          </w:tcPr>
          <w:p w14:paraId="0FF08FA5" w14:textId="77777777" w:rsidR="00124F6F" w:rsidRPr="00347B03" w:rsidRDefault="00124F6F">
            <w:pPr>
              <w:pStyle w:val="NormalWeb"/>
              <w:spacing w:beforeAutospacing="0" w:afterAutospacing="0"/>
              <w:jc w:val="center"/>
              <w:rPr>
                <w:color w:val="000000"/>
                <w:sz w:val="20"/>
                <w:szCs w:val="20"/>
              </w:rPr>
            </w:pPr>
          </w:p>
          <w:p w14:paraId="72E429D9" w14:textId="5ECA3F70" w:rsidR="004662D0" w:rsidRPr="00347B03" w:rsidRDefault="004662D0">
            <w:pPr>
              <w:pStyle w:val="NormalWeb"/>
              <w:spacing w:beforeAutospacing="0" w:afterAutospacing="0"/>
              <w:jc w:val="center"/>
              <w:rPr>
                <w:sz w:val="20"/>
                <w:szCs w:val="20"/>
              </w:rPr>
            </w:pPr>
            <w:r w:rsidRPr="00347B03">
              <w:rPr>
                <w:color w:val="000000"/>
                <w:sz w:val="20"/>
                <w:szCs w:val="20"/>
              </w:rPr>
              <w:t>0</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484DADFB" w14:textId="0E4C1725" w:rsidR="00DB29D1" w:rsidRPr="00347B03" w:rsidRDefault="00316F06" w:rsidP="00DB29D1">
            <w:pPr>
              <w:jc w:val="center"/>
              <w:rPr>
                <w:color w:val="000000"/>
                <w:sz w:val="20"/>
                <w:szCs w:val="20"/>
              </w:rPr>
            </w:pPr>
            <w:r w:rsidRPr="00347B03">
              <w:rPr>
                <w:color w:val="000000"/>
                <w:sz w:val="20"/>
                <w:szCs w:val="20"/>
              </w:rPr>
              <w:t>4</w:t>
            </w:r>
            <w:r w:rsidR="000D22AE" w:rsidRPr="00347B03">
              <w:rPr>
                <w:color w:val="000000"/>
                <w:sz w:val="20"/>
                <w:szCs w:val="20"/>
              </w:rPr>
              <w:t xml:space="preserve"> –</w:t>
            </w:r>
            <w:r w:rsidR="00DB29D1" w:rsidRPr="00347B03">
              <w:rPr>
                <w:color w:val="000000"/>
                <w:sz w:val="20"/>
                <w:szCs w:val="20"/>
              </w:rPr>
              <w:t xml:space="preserve"> </w:t>
            </w:r>
            <w:r w:rsidRPr="00347B03">
              <w:rPr>
                <w:color w:val="000000"/>
                <w:sz w:val="20"/>
                <w:szCs w:val="20"/>
              </w:rPr>
              <w:t>0,020833</w:t>
            </w:r>
          </w:p>
          <w:p w14:paraId="29584FB2" w14:textId="1F45876F" w:rsidR="000D09C2" w:rsidRPr="00347B03" w:rsidRDefault="00316F06" w:rsidP="000D09C2">
            <w:pPr>
              <w:pStyle w:val="NormalWeb"/>
              <w:spacing w:beforeAutospacing="0" w:afterAutospacing="0"/>
              <w:jc w:val="center"/>
              <w:rPr>
                <w:color w:val="000000"/>
                <w:sz w:val="20"/>
                <w:szCs w:val="20"/>
              </w:rPr>
            </w:pPr>
            <w:r w:rsidRPr="00347B03">
              <w:rPr>
                <w:color w:val="000000"/>
                <w:sz w:val="20"/>
                <w:szCs w:val="20"/>
              </w:rPr>
              <w:t xml:space="preserve">3 </w:t>
            </w:r>
            <w:r w:rsidR="000D09C2" w:rsidRPr="00347B03">
              <w:rPr>
                <w:color w:val="000000"/>
                <w:sz w:val="20"/>
                <w:szCs w:val="20"/>
              </w:rPr>
              <w:t xml:space="preserve">– </w:t>
            </w:r>
            <w:r w:rsidRPr="00347B03">
              <w:rPr>
                <w:color w:val="000000"/>
                <w:sz w:val="20"/>
                <w:szCs w:val="20"/>
              </w:rPr>
              <w:t>0,041667</w:t>
            </w:r>
          </w:p>
          <w:p w14:paraId="6B73C48A" w14:textId="53CEDEA3" w:rsidR="000D09C2" w:rsidRPr="00347B03" w:rsidRDefault="00C86310" w:rsidP="000D09C2">
            <w:pPr>
              <w:pStyle w:val="NormalWeb"/>
              <w:spacing w:beforeAutospacing="0" w:afterAutospacing="0"/>
              <w:jc w:val="center"/>
              <w:rPr>
                <w:color w:val="000000"/>
                <w:sz w:val="20"/>
                <w:szCs w:val="20"/>
              </w:rPr>
            </w:pPr>
            <w:r w:rsidRPr="00347B03">
              <w:rPr>
                <w:color w:val="000000"/>
                <w:sz w:val="20"/>
                <w:szCs w:val="20"/>
              </w:rPr>
              <w:t>1 – 0,</w:t>
            </w:r>
            <w:r w:rsidR="00A719B2" w:rsidRPr="00347B03">
              <w:rPr>
                <w:color w:val="000000"/>
                <w:sz w:val="20"/>
                <w:szCs w:val="20"/>
              </w:rPr>
              <w:t>104167</w:t>
            </w:r>
          </w:p>
          <w:p w14:paraId="36264E29" w14:textId="7D2D4516" w:rsidR="004662D0" w:rsidRPr="00347B03" w:rsidRDefault="00C86310" w:rsidP="00F6342C">
            <w:pPr>
              <w:pStyle w:val="NormalWeb"/>
              <w:spacing w:beforeAutospacing="0" w:afterAutospacing="0"/>
              <w:jc w:val="center"/>
              <w:rPr>
                <w:sz w:val="20"/>
                <w:szCs w:val="20"/>
              </w:rPr>
            </w:pPr>
            <w:r w:rsidRPr="00347B03">
              <w:rPr>
                <w:color w:val="000000"/>
                <w:sz w:val="20"/>
                <w:szCs w:val="20"/>
              </w:rPr>
              <w:t>1</w:t>
            </w:r>
            <w:r w:rsidR="00995AA2" w:rsidRPr="00347B03">
              <w:rPr>
                <w:color w:val="000000"/>
                <w:sz w:val="20"/>
                <w:szCs w:val="20"/>
              </w:rPr>
              <w:t xml:space="preserve"> - 0,125</w:t>
            </w:r>
            <w:r w:rsidRPr="00347B03">
              <w:rPr>
                <w:color w:val="000000"/>
                <w:sz w:val="20"/>
                <w:szCs w:val="20"/>
              </w:rPr>
              <w:t xml:space="preserve"> </w:t>
            </w:r>
          </w:p>
        </w:tc>
      </w:tr>
      <w:tr w:rsidR="004662D0" w14:paraId="7719B852" w14:textId="77777777" w:rsidTr="0043130C">
        <w:tc>
          <w:tcPr>
            <w:tcW w:w="0" w:type="auto"/>
            <w:tcBorders>
              <w:top w:val="single" w:sz="8" w:space="0" w:color="000000"/>
              <w:bottom w:val="single" w:sz="8" w:space="0" w:color="000000"/>
            </w:tcBorders>
            <w:tcMar>
              <w:top w:w="100" w:type="dxa"/>
              <w:left w:w="100" w:type="dxa"/>
              <w:bottom w:w="100" w:type="dxa"/>
              <w:right w:w="100" w:type="dxa"/>
            </w:tcMar>
            <w:hideMark/>
          </w:tcPr>
          <w:p w14:paraId="561CE61C" w14:textId="77777777" w:rsidR="00124F6F" w:rsidRPr="00347B03" w:rsidRDefault="00124F6F">
            <w:pPr>
              <w:pStyle w:val="NormalWeb"/>
              <w:spacing w:beforeAutospacing="0" w:afterAutospacing="0"/>
              <w:jc w:val="center"/>
              <w:rPr>
                <w:color w:val="000000"/>
                <w:sz w:val="20"/>
                <w:szCs w:val="20"/>
              </w:rPr>
            </w:pPr>
          </w:p>
          <w:p w14:paraId="41AE737C" w14:textId="1AC36C42" w:rsidR="004662D0" w:rsidRPr="00347B03" w:rsidRDefault="004662D0">
            <w:pPr>
              <w:pStyle w:val="NormalWeb"/>
              <w:spacing w:beforeAutospacing="0" w:afterAutospacing="0"/>
              <w:jc w:val="center"/>
              <w:rPr>
                <w:sz w:val="20"/>
                <w:szCs w:val="20"/>
              </w:rPr>
            </w:pPr>
            <w:r w:rsidRPr="00347B03">
              <w:rPr>
                <w:color w:val="000000"/>
                <w:sz w:val="20"/>
                <w:szCs w:val="20"/>
              </w:rPr>
              <w:t>1</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499399B9" w14:textId="72FC0E6B" w:rsidR="004662D0" w:rsidRPr="00347B03" w:rsidRDefault="004662D0">
            <w:pPr>
              <w:pStyle w:val="NormalWeb"/>
              <w:spacing w:beforeAutospacing="0" w:afterAutospacing="0"/>
              <w:jc w:val="center"/>
              <w:rPr>
                <w:sz w:val="20"/>
                <w:szCs w:val="20"/>
              </w:rPr>
            </w:pPr>
            <w:r w:rsidRPr="00347B03">
              <w:rPr>
                <w:color w:val="000000"/>
                <w:sz w:val="20"/>
                <w:szCs w:val="20"/>
              </w:rPr>
              <w:t xml:space="preserve">2 – </w:t>
            </w:r>
            <w:r w:rsidR="00980ECC" w:rsidRPr="00347B03">
              <w:rPr>
                <w:color w:val="000000"/>
                <w:sz w:val="20"/>
                <w:szCs w:val="20"/>
              </w:rPr>
              <w:t>0,020833</w:t>
            </w:r>
          </w:p>
          <w:p w14:paraId="3E7D2D4B" w14:textId="0842A93E" w:rsidR="004662D0" w:rsidRPr="00347B03" w:rsidRDefault="00980ECC">
            <w:pPr>
              <w:pStyle w:val="NormalWeb"/>
              <w:spacing w:beforeAutospacing="0" w:afterAutospacing="0"/>
              <w:jc w:val="center"/>
              <w:rPr>
                <w:sz w:val="20"/>
                <w:szCs w:val="20"/>
              </w:rPr>
            </w:pPr>
            <w:r w:rsidRPr="00347B03">
              <w:rPr>
                <w:color w:val="000000"/>
                <w:sz w:val="20"/>
                <w:szCs w:val="20"/>
              </w:rPr>
              <w:t>3</w:t>
            </w:r>
            <w:r w:rsidR="004662D0" w:rsidRPr="00347B03">
              <w:rPr>
                <w:color w:val="000000"/>
                <w:sz w:val="20"/>
                <w:szCs w:val="20"/>
              </w:rPr>
              <w:t xml:space="preserve"> - 0,0</w:t>
            </w:r>
            <w:r w:rsidRPr="00347B03">
              <w:rPr>
                <w:color w:val="000000"/>
                <w:sz w:val="20"/>
                <w:szCs w:val="20"/>
              </w:rPr>
              <w:t>41667</w:t>
            </w:r>
          </w:p>
          <w:p w14:paraId="633F5CFA" w14:textId="48E53BC5" w:rsidR="004662D0" w:rsidRPr="00347B03" w:rsidRDefault="00980ECC">
            <w:pPr>
              <w:pStyle w:val="NormalWeb"/>
              <w:spacing w:beforeAutospacing="0" w:afterAutospacing="0"/>
              <w:jc w:val="center"/>
              <w:rPr>
                <w:sz w:val="20"/>
                <w:szCs w:val="20"/>
              </w:rPr>
            </w:pPr>
            <w:r w:rsidRPr="00347B03">
              <w:rPr>
                <w:color w:val="000000"/>
                <w:sz w:val="20"/>
                <w:szCs w:val="20"/>
              </w:rPr>
              <w:t>1</w:t>
            </w:r>
            <w:r w:rsidR="004662D0" w:rsidRPr="00347B03">
              <w:rPr>
                <w:color w:val="000000"/>
                <w:sz w:val="20"/>
                <w:szCs w:val="20"/>
              </w:rPr>
              <w:t xml:space="preserve"> </w:t>
            </w:r>
            <w:r w:rsidRPr="00347B03">
              <w:rPr>
                <w:color w:val="000000"/>
                <w:sz w:val="20"/>
                <w:szCs w:val="20"/>
              </w:rPr>
              <w:t>–</w:t>
            </w:r>
            <w:r w:rsidR="004662D0" w:rsidRPr="00347B03">
              <w:rPr>
                <w:color w:val="000000"/>
                <w:sz w:val="20"/>
                <w:szCs w:val="20"/>
              </w:rPr>
              <w:t xml:space="preserve"> </w:t>
            </w:r>
            <w:r w:rsidRPr="00347B03">
              <w:rPr>
                <w:color w:val="000000"/>
                <w:sz w:val="20"/>
                <w:szCs w:val="20"/>
              </w:rPr>
              <w:t>0,083333</w:t>
            </w:r>
          </w:p>
          <w:p w14:paraId="10DECEA5" w14:textId="13CE109E" w:rsidR="004662D0" w:rsidRPr="00347B03" w:rsidRDefault="00980ECC">
            <w:pPr>
              <w:pStyle w:val="NormalWeb"/>
              <w:spacing w:beforeAutospacing="0" w:afterAutospacing="0"/>
              <w:jc w:val="center"/>
              <w:rPr>
                <w:sz w:val="20"/>
                <w:szCs w:val="20"/>
              </w:rPr>
            </w:pPr>
            <w:r w:rsidRPr="00347B03">
              <w:rPr>
                <w:color w:val="000000"/>
                <w:sz w:val="20"/>
                <w:szCs w:val="20"/>
              </w:rPr>
              <w:t>1 – 0,125</w:t>
            </w:r>
          </w:p>
          <w:p w14:paraId="4EAA5207" w14:textId="4A0A034C" w:rsidR="002B5EE4" w:rsidRPr="00347B03" w:rsidRDefault="004662D0" w:rsidP="00F6342C">
            <w:pPr>
              <w:pStyle w:val="NormalWeb"/>
              <w:spacing w:beforeAutospacing="0" w:afterAutospacing="0"/>
              <w:jc w:val="center"/>
              <w:rPr>
                <w:color w:val="000000"/>
                <w:sz w:val="20"/>
                <w:szCs w:val="20"/>
              </w:rPr>
            </w:pPr>
            <w:r w:rsidRPr="00347B03">
              <w:rPr>
                <w:color w:val="000000"/>
                <w:sz w:val="20"/>
                <w:szCs w:val="20"/>
              </w:rPr>
              <w:t>1 - 0,</w:t>
            </w:r>
            <w:r w:rsidR="007458B5" w:rsidRPr="00347B03">
              <w:rPr>
                <w:color w:val="000000"/>
                <w:sz w:val="20"/>
                <w:szCs w:val="20"/>
              </w:rPr>
              <w:t>25</w:t>
            </w:r>
          </w:p>
        </w:tc>
      </w:tr>
      <w:tr w:rsidR="004662D0" w14:paraId="11D97303" w14:textId="77777777" w:rsidTr="00214DEC">
        <w:trPr>
          <w:cantSplit/>
        </w:trPr>
        <w:tc>
          <w:tcPr>
            <w:tcW w:w="0" w:type="auto"/>
            <w:tcBorders>
              <w:top w:val="single" w:sz="8" w:space="0" w:color="000000"/>
              <w:bottom w:val="single" w:sz="8" w:space="0" w:color="000000"/>
            </w:tcBorders>
            <w:tcMar>
              <w:top w:w="100" w:type="dxa"/>
              <w:left w:w="100" w:type="dxa"/>
              <w:bottom w:w="100" w:type="dxa"/>
              <w:right w:w="100" w:type="dxa"/>
            </w:tcMar>
            <w:hideMark/>
          </w:tcPr>
          <w:p w14:paraId="049C35BB" w14:textId="77777777" w:rsidR="00124F6F" w:rsidRPr="00347B03" w:rsidRDefault="00124F6F">
            <w:pPr>
              <w:pStyle w:val="NormalWeb"/>
              <w:spacing w:beforeAutospacing="0" w:afterAutospacing="0"/>
              <w:jc w:val="center"/>
              <w:rPr>
                <w:color w:val="000000"/>
                <w:sz w:val="20"/>
                <w:szCs w:val="20"/>
              </w:rPr>
            </w:pPr>
          </w:p>
          <w:p w14:paraId="30C12391" w14:textId="2DB49A9D" w:rsidR="004662D0" w:rsidRPr="00347B03" w:rsidRDefault="004662D0">
            <w:pPr>
              <w:pStyle w:val="NormalWeb"/>
              <w:spacing w:beforeAutospacing="0" w:afterAutospacing="0"/>
              <w:jc w:val="center"/>
              <w:rPr>
                <w:sz w:val="20"/>
                <w:szCs w:val="20"/>
              </w:rPr>
            </w:pPr>
            <w:r w:rsidRPr="00347B03">
              <w:rPr>
                <w:color w:val="000000"/>
                <w:sz w:val="20"/>
                <w:szCs w:val="20"/>
              </w:rPr>
              <w:t>2</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7DA3BE3D" w14:textId="3A1FA28D" w:rsidR="004662D0" w:rsidRPr="00347B03" w:rsidRDefault="004662D0" w:rsidP="00F2327C">
            <w:pPr>
              <w:pStyle w:val="NormalWeb"/>
              <w:spacing w:beforeAutospacing="0" w:afterAutospacing="0"/>
              <w:jc w:val="center"/>
              <w:rPr>
                <w:color w:val="000000"/>
                <w:sz w:val="20"/>
                <w:szCs w:val="20"/>
              </w:rPr>
            </w:pPr>
            <w:r w:rsidRPr="00347B03">
              <w:rPr>
                <w:color w:val="000000"/>
                <w:sz w:val="20"/>
                <w:szCs w:val="20"/>
              </w:rPr>
              <w:t xml:space="preserve">1 – </w:t>
            </w:r>
            <w:r w:rsidR="00F2327C" w:rsidRPr="00347B03">
              <w:rPr>
                <w:color w:val="000000"/>
                <w:sz w:val="20"/>
                <w:szCs w:val="20"/>
              </w:rPr>
              <w:t>0,020408</w:t>
            </w:r>
          </w:p>
          <w:p w14:paraId="566A4E8E" w14:textId="37A5F282" w:rsidR="00F2327C" w:rsidRPr="00347B03" w:rsidRDefault="00F2327C" w:rsidP="00EF3898">
            <w:pPr>
              <w:pStyle w:val="NormalWeb"/>
              <w:spacing w:beforeAutospacing="0" w:afterAutospacing="0"/>
              <w:jc w:val="center"/>
              <w:rPr>
                <w:sz w:val="20"/>
                <w:szCs w:val="20"/>
              </w:rPr>
            </w:pPr>
            <w:r w:rsidRPr="00347B03">
              <w:rPr>
                <w:color w:val="000000"/>
                <w:sz w:val="20"/>
                <w:szCs w:val="20"/>
              </w:rPr>
              <w:t xml:space="preserve">1 – </w:t>
            </w:r>
            <w:r w:rsidR="00EF3898" w:rsidRPr="00347B03">
              <w:rPr>
                <w:color w:val="000000"/>
                <w:sz w:val="20"/>
                <w:szCs w:val="20"/>
              </w:rPr>
              <w:t>0,041667</w:t>
            </w:r>
          </w:p>
          <w:p w14:paraId="79BE225A" w14:textId="61629742" w:rsidR="00F2327C" w:rsidRPr="00347B03" w:rsidRDefault="00F2327C">
            <w:pPr>
              <w:pStyle w:val="NormalWeb"/>
              <w:spacing w:beforeAutospacing="0" w:afterAutospacing="0"/>
              <w:jc w:val="center"/>
              <w:rPr>
                <w:color w:val="000000"/>
                <w:sz w:val="20"/>
                <w:szCs w:val="20"/>
              </w:rPr>
            </w:pPr>
            <w:r w:rsidRPr="00347B03">
              <w:rPr>
                <w:color w:val="000000"/>
                <w:sz w:val="20"/>
                <w:szCs w:val="20"/>
              </w:rPr>
              <w:t xml:space="preserve">3 – </w:t>
            </w:r>
            <w:r w:rsidR="00EF3898" w:rsidRPr="00347B03">
              <w:rPr>
                <w:color w:val="000000"/>
                <w:sz w:val="20"/>
                <w:szCs w:val="20"/>
              </w:rPr>
              <w:t>0,0625</w:t>
            </w:r>
          </w:p>
          <w:p w14:paraId="61D3E8F5" w14:textId="26452788" w:rsidR="00F2327C" w:rsidRPr="00347B03" w:rsidRDefault="00F2327C" w:rsidP="00B0487D">
            <w:pPr>
              <w:pStyle w:val="NormalWeb"/>
              <w:spacing w:beforeAutospacing="0" w:afterAutospacing="0"/>
              <w:jc w:val="center"/>
              <w:rPr>
                <w:color w:val="000000"/>
                <w:sz w:val="20"/>
                <w:szCs w:val="20"/>
              </w:rPr>
            </w:pPr>
            <w:r w:rsidRPr="00347B03">
              <w:rPr>
                <w:color w:val="000000"/>
                <w:sz w:val="20"/>
                <w:szCs w:val="20"/>
              </w:rPr>
              <w:t xml:space="preserve">1 </w:t>
            </w:r>
            <w:r w:rsidR="00EF3898" w:rsidRPr="00347B03">
              <w:rPr>
                <w:color w:val="000000"/>
                <w:sz w:val="20"/>
                <w:szCs w:val="20"/>
              </w:rPr>
              <w:t>–</w:t>
            </w:r>
            <w:r w:rsidRPr="00347B03">
              <w:rPr>
                <w:color w:val="000000"/>
                <w:sz w:val="20"/>
                <w:szCs w:val="20"/>
              </w:rPr>
              <w:t xml:space="preserve"> </w:t>
            </w:r>
            <w:r w:rsidR="00EF3898" w:rsidRPr="00347B03">
              <w:rPr>
                <w:color w:val="000000"/>
                <w:sz w:val="20"/>
                <w:szCs w:val="20"/>
              </w:rPr>
              <w:t>0,25</w:t>
            </w:r>
          </w:p>
          <w:p w14:paraId="7C7E3C3A" w14:textId="1E9C00B5" w:rsidR="00F2327C" w:rsidRPr="00347B03" w:rsidRDefault="00F2327C">
            <w:pPr>
              <w:pStyle w:val="NormalWeb"/>
              <w:spacing w:beforeAutospacing="0" w:afterAutospacing="0"/>
              <w:jc w:val="center"/>
              <w:rPr>
                <w:sz w:val="20"/>
                <w:szCs w:val="20"/>
              </w:rPr>
            </w:pPr>
          </w:p>
        </w:tc>
      </w:tr>
      <w:tr w:rsidR="004662D0" w14:paraId="55D0375D" w14:textId="77777777" w:rsidTr="0043130C">
        <w:tc>
          <w:tcPr>
            <w:tcW w:w="0" w:type="auto"/>
            <w:tcBorders>
              <w:top w:val="single" w:sz="8" w:space="0" w:color="000000"/>
              <w:bottom w:val="single" w:sz="8" w:space="0" w:color="000000"/>
            </w:tcBorders>
            <w:tcMar>
              <w:top w:w="100" w:type="dxa"/>
              <w:left w:w="100" w:type="dxa"/>
              <w:bottom w:w="100" w:type="dxa"/>
              <w:right w:w="100" w:type="dxa"/>
            </w:tcMar>
            <w:hideMark/>
          </w:tcPr>
          <w:p w14:paraId="5E1DE9F8" w14:textId="77777777" w:rsidR="004662D0" w:rsidRPr="00347B03" w:rsidRDefault="004662D0">
            <w:pPr>
              <w:pStyle w:val="NormalWeb"/>
              <w:spacing w:beforeAutospacing="0" w:afterAutospacing="0"/>
              <w:jc w:val="center"/>
              <w:rPr>
                <w:sz w:val="20"/>
                <w:szCs w:val="20"/>
              </w:rPr>
            </w:pPr>
            <w:r w:rsidRPr="00347B03">
              <w:rPr>
                <w:color w:val="000000"/>
                <w:sz w:val="20"/>
                <w:szCs w:val="20"/>
              </w:rPr>
              <w:t>3</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3AB345F8" w14:textId="6EB958FE" w:rsidR="0089394A" w:rsidRPr="00347B03" w:rsidRDefault="0089394A" w:rsidP="0089394A">
            <w:pPr>
              <w:pStyle w:val="NormalWeb"/>
              <w:spacing w:beforeAutospacing="0" w:afterAutospacing="0"/>
              <w:jc w:val="center"/>
              <w:rPr>
                <w:sz w:val="20"/>
                <w:szCs w:val="20"/>
              </w:rPr>
            </w:pPr>
            <w:r w:rsidRPr="00347B03">
              <w:rPr>
                <w:color w:val="000000"/>
                <w:sz w:val="20"/>
                <w:szCs w:val="20"/>
              </w:rPr>
              <w:t xml:space="preserve">1 </w:t>
            </w:r>
            <w:r w:rsidR="004662D0" w:rsidRPr="00347B03">
              <w:rPr>
                <w:color w:val="000000"/>
                <w:sz w:val="20"/>
                <w:szCs w:val="20"/>
              </w:rPr>
              <w:t xml:space="preserve">- </w:t>
            </w:r>
            <w:r w:rsidRPr="00347B03">
              <w:rPr>
                <w:color w:val="000000"/>
                <w:sz w:val="20"/>
                <w:szCs w:val="20"/>
              </w:rPr>
              <w:t>0,041667</w:t>
            </w:r>
          </w:p>
          <w:p w14:paraId="0A901DB4" w14:textId="5881EFB5" w:rsidR="004662D0" w:rsidRPr="00347B03" w:rsidRDefault="004662D0">
            <w:pPr>
              <w:pStyle w:val="NormalWeb"/>
              <w:spacing w:beforeAutospacing="0" w:afterAutospacing="0"/>
              <w:jc w:val="center"/>
              <w:rPr>
                <w:sz w:val="20"/>
                <w:szCs w:val="20"/>
              </w:rPr>
            </w:pPr>
          </w:p>
        </w:tc>
      </w:tr>
    </w:tbl>
    <w:p w14:paraId="2D06C4D6" w14:textId="36AFEE49" w:rsidR="004C0F51" w:rsidRDefault="004C0F51" w:rsidP="00FC5532">
      <w:pPr>
        <w:rPr>
          <w:color w:val="000000"/>
          <w:sz w:val="18"/>
          <w:szCs w:val="18"/>
        </w:rPr>
      </w:pPr>
      <w:r>
        <w:rPr>
          <w:color w:val="000000"/>
          <w:sz w:val="18"/>
          <w:szCs w:val="18"/>
        </w:rPr>
        <w:t xml:space="preserve">Fonte: </w:t>
      </w:r>
      <w:r w:rsidR="007335EC">
        <w:rPr>
          <w:sz w:val="18"/>
          <w:szCs w:val="18"/>
        </w:rPr>
        <w:t>Elaborado pelo autor (2022).</w:t>
      </w:r>
    </w:p>
    <w:p w14:paraId="77BA1A1C" w14:textId="77777777" w:rsidR="004C0F51" w:rsidRDefault="004C0F51" w:rsidP="004C0F51">
      <w:pPr>
        <w:ind w:firstLine="720"/>
        <w:jc w:val="both"/>
        <w:rPr>
          <w:color w:val="000000"/>
        </w:rPr>
      </w:pPr>
    </w:p>
    <w:p w14:paraId="3988923E" w14:textId="2AEDE831" w:rsidR="004C0F51" w:rsidRDefault="004C0F51" w:rsidP="004C0F51">
      <w:pPr>
        <w:ind w:firstLine="720"/>
        <w:jc w:val="both"/>
        <w:rPr>
          <w:color w:val="000000"/>
        </w:rPr>
      </w:pPr>
      <w:r>
        <w:rPr>
          <w:color w:val="000000"/>
        </w:rPr>
        <w:t xml:space="preserve">O trabalho também apresenta a possibilidade de que </w:t>
      </w:r>
      <w:r w:rsidR="00BC5558">
        <w:rPr>
          <w:color w:val="000000"/>
        </w:rPr>
        <w:t xml:space="preserve">somente </w:t>
      </w:r>
      <w:r>
        <w:rPr>
          <w:color w:val="000000"/>
        </w:rPr>
        <w:t xml:space="preserve">os processos </w:t>
      </w:r>
      <w:r w:rsidR="00BC5558">
        <w:rPr>
          <w:color w:val="000000"/>
        </w:rPr>
        <w:t xml:space="preserve">atípicos </w:t>
      </w:r>
      <w:r>
        <w:rPr>
          <w:color w:val="000000"/>
        </w:rPr>
        <w:t xml:space="preserve">de cada </w:t>
      </w:r>
      <w:r w:rsidRPr="002359D5">
        <w:rPr>
          <w:i/>
          <w:iCs/>
          <w:color w:val="000000"/>
        </w:rPr>
        <w:t>cluster</w:t>
      </w:r>
      <w:r>
        <w:rPr>
          <w:color w:val="000000"/>
        </w:rPr>
        <w:t xml:space="preserve"> sejam explicitados. Assim, os auditores talvez não precisem olhar todos os processos, mas somente os </w:t>
      </w:r>
      <w:r w:rsidR="001462E1">
        <w:rPr>
          <w:color w:val="000000"/>
        </w:rPr>
        <w:t>tidos como relevantes</w:t>
      </w:r>
      <w:r>
        <w:rPr>
          <w:color w:val="000000"/>
        </w:rPr>
        <w:t>.</w:t>
      </w:r>
    </w:p>
    <w:p w14:paraId="0BF13EEB" w14:textId="48393139" w:rsidR="004662D0" w:rsidRDefault="004662D0" w:rsidP="004662D0">
      <w:pPr>
        <w:ind w:firstLine="708"/>
        <w:rPr>
          <w:color w:val="000000"/>
        </w:rPr>
      </w:pPr>
      <w:r w:rsidRPr="004662D0">
        <w:rPr>
          <w:color w:val="000000"/>
        </w:rPr>
        <w:t>Chegou-se, po</w:t>
      </w:r>
      <w:r w:rsidR="00FE7847">
        <w:rPr>
          <w:color w:val="000000"/>
        </w:rPr>
        <w:t>rtanto</w:t>
      </w:r>
      <w:r w:rsidRPr="004662D0">
        <w:rPr>
          <w:color w:val="000000"/>
        </w:rPr>
        <w:t xml:space="preserve">, aos processos atípicos de cada Organização Militar. A </w:t>
      </w:r>
      <w:r w:rsidR="00A63C02">
        <w:rPr>
          <w:color w:val="000000"/>
        </w:rPr>
        <w:t>t</w:t>
      </w:r>
      <w:r w:rsidRPr="004662D0">
        <w:rPr>
          <w:color w:val="000000"/>
        </w:rPr>
        <w:t xml:space="preserve">abela </w:t>
      </w:r>
      <w:r w:rsidR="006D0B87">
        <w:rPr>
          <w:color w:val="000000"/>
        </w:rPr>
        <w:t>4</w:t>
      </w:r>
      <w:r w:rsidRPr="004662D0">
        <w:rPr>
          <w:color w:val="000000"/>
        </w:rPr>
        <w:t xml:space="preserve"> apresenta alguns destes processos, para fins ilustrativos (aqui zelou-se por atribuir um nome hipotético para cada organização):</w:t>
      </w:r>
    </w:p>
    <w:p w14:paraId="1694CE9E" w14:textId="77777777" w:rsidR="00571135" w:rsidRDefault="00571135" w:rsidP="00571135">
      <w:pPr>
        <w:rPr>
          <w:color w:val="000000"/>
        </w:rPr>
      </w:pPr>
    </w:p>
    <w:p w14:paraId="6142C7A5" w14:textId="51C2B96D" w:rsidR="0048760D" w:rsidRPr="00FC5532" w:rsidRDefault="007A3CBE" w:rsidP="007A3CBE">
      <w:pPr>
        <w:rPr>
          <w:b/>
          <w:bCs/>
          <w:color w:val="000000"/>
          <w:sz w:val="20"/>
          <w:szCs w:val="20"/>
        </w:rPr>
      </w:pPr>
      <w:r>
        <w:rPr>
          <w:b/>
          <w:bCs/>
          <w:color w:val="000000"/>
          <w:sz w:val="20"/>
          <w:szCs w:val="20"/>
        </w:rPr>
        <w:t xml:space="preserve">    </w:t>
      </w:r>
      <w:r w:rsidR="0048760D" w:rsidRPr="00FC5532">
        <w:rPr>
          <w:b/>
          <w:bCs/>
          <w:color w:val="000000"/>
          <w:sz w:val="20"/>
          <w:szCs w:val="20"/>
        </w:rPr>
        <w:t>Tabela 4 – Evidenciação dos processos atípicos</w:t>
      </w:r>
      <w:r w:rsidR="00EB7390">
        <w:rPr>
          <w:b/>
          <w:bCs/>
          <w:color w:val="000000"/>
          <w:sz w:val="20"/>
          <w:szCs w:val="20"/>
        </w:rPr>
        <w:t xml:space="preserve"> de algumas organizaçõ</w:t>
      </w:r>
      <w:r w:rsidR="004467F9">
        <w:rPr>
          <w:b/>
          <w:bCs/>
          <w:color w:val="000000"/>
          <w:sz w:val="20"/>
          <w:szCs w:val="20"/>
        </w:rPr>
        <w:t>es</w:t>
      </w:r>
    </w:p>
    <w:tbl>
      <w:tblPr>
        <w:tblW w:w="0" w:type="auto"/>
        <w:jc w:val="center"/>
        <w:tblCellMar>
          <w:top w:w="15" w:type="dxa"/>
          <w:left w:w="15" w:type="dxa"/>
          <w:bottom w:w="15" w:type="dxa"/>
          <w:right w:w="15" w:type="dxa"/>
        </w:tblCellMar>
        <w:tblLook w:val="04A0" w:firstRow="1" w:lastRow="0" w:firstColumn="1" w:lastColumn="0" w:noHBand="0" w:noVBand="1"/>
      </w:tblPr>
      <w:tblGrid>
        <w:gridCol w:w="2540"/>
        <w:gridCol w:w="1341"/>
        <w:gridCol w:w="4760"/>
      </w:tblGrid>
      <w:tr w:rsidR="0048760D" w:rsidRPr="0048760D" w14:paraId="12CA384A" w14:textId="77777777" w:rsidTr="0043130C">
        <w:trPr>
          <w:jc w:val="center"/>
        </w:trPr>
        <w:tc>
          <w:tcPr>
            <w:tcW w:w="2540" w:type="dxa"/>
            <w:tcBorders>
              <w:top w:val="single" w:sz="8" w:space="0" w:color="000000"/>
              <w:bottom w:val="single" w:sz="8" w:space="0" w:color="000000"/>
            </w:tcBorders>
            <w:shd w:val="clear" w:color="auto" w:fill="D0CECE"/>
            <w:tcMar>
              <w:top w:w="100" w:type="dxa"/>
              <w:left w:w="100" w:type="dxa"/>
              <w:bottom w:w="100" w:type="dxa"/>
              <w:right w:w="100" w:type="dxa"/>
            </w:tcMar>
            <w:hideMark/>
          </w:tcPr>
          <w:p w14:paraId="5210C0B1" w14:textId="77777777" w:rsidR="0048760D" w:rsidRPr="0048760D" w:rsidRDefault="0048760D" w:rsidP="0048760D">
            <w:pPr>
              <w:jc w:val="center"/>
            </w:pPr>
            <w:r w:rsidRPr="0048760D">
              <w:rPr>
                <w:b/>
                <w:bCs/>
                <w:color w:val="000000"/>
              </w:rPr>
              <w:t>ORGANIZAÇÃO </w:t>
            </w:r>
          </w:p>
          <w:p w14:paraId="67BD2A7A" w14:textId="77777777" w:rsidR="0048760D" w:rsidRPr="0048760D" w:rsidRDefault="0048760D" w:rsidP="0048760D">
            <w:pPr>
              <w:jc w:val="center"/>
            </w:pPr>
            <w:r w:rsidRPr="0048760D">
              <w:rPr>
                <w:b/>
                <w:bCs/>
                <w:color w:val="000000"/>
              </w:rPr>
              <w:t>MILITAR</w:t>
            </w:r>
          </w:p>
        </w:tc>
        <w:tc>
          <w:tcPr>
            <w:tcW w:w="0" w:type="auto"/>
            <w:tcBorders>
              <w:top w:val="single" w:sz="8" w:space="0" w:color="000000"/>
              <w:left w:val="nil"/>
              <w:bottom w:val="single" w:sz="8" w:space="0" w:color="000000"/>
            </w:tcBorders>
            <w:shd w:val="clear" w:color="auto" w:fill="D0CECE"/>
            <w:tcMar>
              <w:top w:w="100" w:type="dxa"/>
              <w:left w:w="100" w:type="dxa"/>
              <w:bottom w:w="100" w:type="dxa"/>
              <w:right w:w="100" w:type="dxa"/>
            </w:tcMar>
            <w:hideMark/>
          </w:tcPr>
          <w:p w14:paraId="5F1384E7" w14:textId="77777777" w:rsidR="0048760D" w:rsidRPr="0048760D" w:rsidRDefault="0048760D" w:rsidP="0048760D">
            <w:pPr>
              <w:jc w:val="center"/>
            </w:pPr>
            <w:r w:rsidRPr="006B6981">
              <w:rPr>
                <w:b/>
                <w:bCs/>
                <w:i/>
                <w:iCs/>
                <w:color w:val="000000"/>
              </w:rPr>
              <w:t>CLUSTER</w:t>
            </w:r>
            <w:r w:rsidRPr="0048760D">
              <w:rPr>
                <w:b/>
                <w:bCs/>
                <w:color w:val="000000"/>
              </w:rPr>
              <w:t> </w:t>
            </w:r>
          </w:p>
        </w:tc>
        <w:tc>
          <w:tcPr>
            <w:tcW w:w="4760" w:type="dxa"/>
            <w:tcBorders>
              <w:top w:val="single" w:sz="8" w:space="0" w:color="000000"/>
              <w:left w:val="nil"/>
              <w:bottom w:val="single" w:sz="8" w:space="0" w:color="000000"/>
            </w:tcBorders>
            <w:shd w:val="clear" w:color="auto" w:fill="D0CECE"/>
            <w:tcMar>
              <w:top w:w="100" w:type="dxa"/>
              <w:left w:w="100" w:type="dxa"/>
              <w:bottom w:w="100" w:type="dxa"/>
              <w:right w:w="100" w:type="dxa"/>
            </w:tcMar>
            <w:hideMark/>
          </w:tcPr>
          <w:p w14:paraId="0ADE720E" w14:textId="77777777" w:rsidR="0048760D" w:rsidRPr="0048760D" w:rsidRDefault="0048760D" w:rsidP="0048760D">
            <w:pPr>
              <w:jc w:val="center"/>
            </w:pPr>
            <w:r w:rsidRPr="0048760D">
              <w:rPr>
                <w:b/>
                <w:bCs/>
                <w:color w:val="000000"/>
              </w:rPr>
              <w:t>PROCESSOS ATÍPICOS</w:t>
            </w:r>
          </w:p>
        </w:tc>
      </w:tr>
      <w:tr w:rsidR="0048760D" w:rsidRPr="0048760D" w14:paraId="05D223C0" w14:textId="77777777" w:rsidTr="0043130C">
        <w:trPr>
          <w:jc w:val="center"/>
        </w:trPr>
        <w:tc>
          <w:tcPr>
            <w:tcW w:w="2540" w:type="dxa"/>
            <w:tcBorders>
              <w:top w:val="single" w:sz="8" w:space="0" w:color="000000"/>
              <w:bottom w:val="single" w:sz="8" w:space="0" w:color="000000"/>
            </w:tcBorders>
            <w:tcMar>
              <w:top w:w="100" w:type="dxa"/>
              <w:left w:w="100" w:type="dxa"/>
              <w:bottom w:w="100" w:type="dxa"/>
              <w:right w:w="100" w:type="dxa"/>
            </w:tcMar>
            <w:hideMark/>
          </w:tcPr>
          <w:p w14:paraId="72DE2102" w14:textId="39323091" w:rsidR="0048760D" w:rsidRPr="0048760D" w:rsidRDefault="0048760D" w:rsidP="0048760D">
            <w:pPr>
              <w:jc w:val="center"/>
            </w:pPr>
            <w:r w:rsidRPr="0048760D">
              <w:rPr>
                <w:color w:val="000000"/>
              </w:rPr>
              <w:t>E</w:t>
            </w:r>
            <w:r w:rsidR="000B7CA0">
              <w:rPr>
                <w:color w:val="000000"/>
              </w:rPr>
              <w:t>sperança</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4EA5376C" w14:textId="77777777" w:rsidR="0048760D" w:rsidRPr="0048760D" w:rsidRDefault="0048760D" w:rsidP="0048760D">
            <w:pPr>
              <w:jc w:val="center"/>
            </w:pPr>
            <w:r w:rsidRPr="0048760D">
              <w:rPr>
                <w:color w:val="000000"/>
              </w:rPr>
              <w:t>0</w:t>
            </w:r>
          </w:p>
        </w:tc>
        <w:tc>
          <w:tcPr>
            <w:tcW w:w="4760" w:type="dxa"/>
            <w:tcBorders>
              <w:top w:val="single" w:sz="8" w:space="0" w:color="000000"/>
              <w:left w:val="nil"/>
              <w:bottom w:val="single" w:sz="8" w:space="0" w:color="000000"/>
            </w:tcBorders>
            <w:tcMar>
              <w:top w:w="100" w:type="dxa"/>
              <w:left w:w="100" w:type="dxa"/>
              <w:bottom w:w="100" w:type="dxa"/>
              <w:right w:w="100" w:type="dxa"/>
            </w:tcMar>
            <w:hideMark/>
          </w:tcPr>
          <w:p w14:paraId="334C0114" w14:textId="2E7F3512" w:rsidR="0048760D" w:rsidRPr="0048760D" w:rsidRDefault="006F5F68" w:rsidP="0048760D">
            <w:pPr>
              <w:jc w:val="center"/>
            </w:pPr>
            <w:r>
              <w:t>NOV/2018 e NOV/2021</w:t>
            </w:r>
          </w:p>
        </w:tc>
      </w:tr>
      <w:tr w:rsidR="0048760D" w:rsidRPr="0048760D" w14:paraId="75A93A69" w14:textId="77777777" w:rsidTr="0043130C">
        <w:trPr>
          <w:jc w:val="center"/>
        </w:trPr>
        <w:tc>
          <w:tcPr>
            <w:tcW w:w="2540" w:type="dxa"/>
            <w:tcBorders>
              <w:top w:val="single" w:sz="8" w:space="0" w:color="000000"/>
              <w:bottom w:val="single" w:sz="8" w:space="0" w:color="000000"/>
            </w:tcBorders>
            <w:tcMar>
              <w:top w:w="100" w:type="dxa"/>
              <w:left w:w="100" w:type="dxa"/>
              <w:bottom w:w="100" w:type="dxa"/>
              <w:right w:w="100" w:type="dxa"/>
            </w:tcMar>
            <w:hideMark/>
          </w:tcPr>
          <w:p w14:paraId="69B23B2A" w14:textId="2D1DF70C" w:rsidR="0048760D" w:rsidRPr="0048760D" w:rsidRDefault="0048760D" w:rsidP="0048760D">
            <w:pPr>
              <w:jc w:val="center"/>
            </w:pPr>
            <w:r w:rsidRPr="0048760D">
              <w:rPr>
                <w:color w:val="000000"/>
              </w:rPr>
              <w:t>A</w:t>
            </w:r>
            <w:r w:rsidR="000B7CA0">
              <w:rPr>
                <w:color w:val="000000"/>
              </w:rPr>
              <w:t>mor</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75949FDC" w14:textId="77777777" w:rsidR="0048760D" w:rsidRPr="0048760D" w:rsidRDefault="0048760D" w:rsidP="0048760D">
            <w:pPr>
              <w:jc w:val="center"/>
            </w:pPr>
            <w:r w:rsidRPr="0048760D">
              <w:rPr>
                <w:color w:val="000000"/>
              </w:rPr>
              <w:t>1</w:t>
            </w:r>
          </w:p>
        </w:tc>
        <w:tc>
          <w:tcPr>
            <w:tcW w:w="4760" w:type="dxa"/>
            <w:tcBorders>
              <w:top w:val="single" w:sz="8" w:space="0" w:color="000000"/>
              <w:left w:val="nil"/>
              <w:bottom w:val="single" w:sz="8" w:space="0" w:color="000000"/>
            </w:tcBorders>
            <w:tcMar>
              <w:top w:w="100" w:type="dxa"/>
              <w:left w:w="100" w:type="dxa"/>
              <w:bottom w:w="100" w:type="dxa"/>
              <w:right w:w="100" w:type="dxa"/>
            </w:tcMar>
            <w:hideMark/>
          </w:tcPr>
          <w:p w14:paraId="61C5A073" w14:textId="3F242385" w:rsidR="0048760D" w:rsidRPr="0048760D" w:rsidRDefault="006D5D90" w:rsidP="0048760D">
            <w:pPr>
              <w:jc w:val="center"/>
            </w:pPr>
            <w:r>
              <w:t>MAI/2018; MAI/2019; JUN/2020 E JUL/2021</w:t>
            </w:r>
          </w:p>
        </w:tc>
      </w:tr>
      <w:tr w:rsidR="0048760D" w:rsidRPr="0048760D" w14:paraId="1B9131F6" w14:textId="77777777" w:rsidTr="0043130C">
        <w:trPr>
          <w:jc w:val="center"/>
        </w:trPr>
        <w:tc>
          <w:tcPr>
            <w:tcW w:w="2540" w:type="dxa"/>
            <w:tcBorders>
              <w:top w:val="single" w:sz="8" w:space="0" w:color="000000"/>
              <w:bottom w:val="single" w:sz="8" w:space="0" w:color="000000"/>
            </w:tcBorders>
            <w:tcMar>
              <w:top w:w="100" w:type="dxa"/>
              <w:left w:w="100" w:type="dxa"/>
              <w:bottom w:w="100" w:type="dxa"/>
              <w:right w:w="100" w:type="dxa"/>
            </w:tcMar>
            <w:hideMark/>
          </w:tcPr>
          <w:p w14:paraId="7832B7CA" w14:textId="4A0934AA" w:rsidR="0048760D" w:rsidRPr="0048760D" w:rsidRDefault="0048760D" w:rsidP="0048760D">
            <w:pPr>
              <w:jc w:val="center"/>
            </w:pPr>
            <w:r w:rsidRPr="0048760D">
              <w:rPr>
                <w:color w:val="000000"/>
              </w:rPr>
              <w:t>F</w:t>
            </w:r>
            <w:r w:rsidR="000B7CA0">
              <w:rPr>
                <w:color w:val="000000"/>
              </w:rPr>
              <w:t>elicidade</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4CC1C515" w14:textId="77777777" w:rsidR="0048760D" w:rsidRPr="0048760D" w:rsidRDefault="0048760D" w:rsidP="0048760D">
            <w:pPr>
              <w:jc w:val="center"/>
            </w:pPr>
            <w:r w:rsidRPr="0048760D">
              <w:rPr>
                <w:color w:val="000000"/>
              </w:rPr>
              <w:t>2</w:t>
            </w:r>
          </w:p>
        </w:tc>
        <w:tc>
          <w:tcPr>
            <w:tcW w:w="4760" w:type="dxa"/>
            <w:tcBorders>
              <w:top w:val="single" w:sz="8" w:space="0" w:color="000000"/>
              <w:left w:val="nil"/>
              <w:bottom w:val="single" w:sz="8" w:space="0" w:color="000000"/>
            </w:tcBorders>
            <w:tcMar>
              <w:top w:w="100" w:type="dxa"/>
              <w:left w:w="100" w:type="dxa"/>
              <w:bottom w:w="100" w:type="dxa"/>
              <w:right w:w="100" w:type="dxa"/>
            </w:tcMar>
            <w:hideMark/>
          </w:tcPr>
          <w:p w14:paraId="40B2847B" w14:textId="2AAFEB0D" w:rsidR="0048760D" w:rsidRPr="00FC5532" w:rsidRDefault="00195661" w:rsidP="00674622">
            <w:pPr>
              <w:jc w:val="center"/>
              <w:rPr>
                <w:color w:val="FF0000"/>
              </w:rPr>
            </w:pPr>
            <w:r w:rsidRPr="00674622">
              <w:t xml:space="preserve">JAN/2018; </w:t>
            </w:r>
            <w:r w:rsidR="00674622" w:rsidRPr="00674622">
              <w:t>AGO/2018 E JAN/2019</w:t>
            </w:r>
          </w:p>
        </w:tc>
      </w:tr>
      <w:tr w:rsidR="0048760D" w:rsidRPr="0048760D" w14:paraId="4E6A0311" w14:textId="77777777" w:rsidTr="0043130C">
        <w:trPr>
          <w:jc w:val="center"/>
        </w:trPr>
        <w:tc>
          <w:tcPr>
            <w:tcW w:w="2540" w:type="dxa"/>
            <w:tcBorders>
              <w:top w:val="single" w:sz="8" w:space="0" w:color="000000"/>
              <w:bottom w:val="single" w:sz="8" w:space="0" w:color="000000"/>
            </w:tcBorders>
            <w:tcMar>
              <w:top w:w="100" w:type="dxa"/>
              <w:left w:w="100" w:type="dxa"/>
              <w:bottom w:w="100" w:type="dxa"/>
              <w:right w:w="100" w:type="dxa"/>
            </w:tcMar>
            <w:hideMark/>
          </w:tcPr>
          <w:p w14:paraId="2C366497" w14:textId="55B6B810" w:rsidR="0048760D" w:rsidRPr="0048760D" w:rsidRDefault="0048760D" w:rsidP="0048760D">
            <w:pPr>
              <w:jc w:val="center"/>
            </w:pPr>
            <w:r w:rsidRPr="0048760D">
              <w:rPr>
                <w:color w:val="000000"/>
              </w:rPr>
              <w:t>C</w:t>
            </w:r>
            <w:r w:rsidR="000B7CA0">
              <w:rPr>
                <w:color w:val="000000"/>
              </w:rPr>
              <w:t>oragem</w:t>
            </w:r>
          </w:p>
        </w:tc>
        <w:tc>
          <w:tcPr>
            <w:tcW w:w="0" w:type="auto"/>
            <w:tcBorders>
              <w:top w:val="single" w:sz="8" w:space="0" w:color="000000"/>
              <w:left w:val="nil"/>
              <w:bottom w:val="single" w:sz="8" w:space="0" w:color="000000"/>
            </w:tcBorders>
            <w:tcMar>
              <w:top w:w="100" w:type="dxa"/>
              <w:left w:w="100" w:type="dxa"/>
              <w:bottom w:w="100" w:type="dxa"/>
              <w:right w:w="100" w:type="dxa"/>
            </w:tcMar>
            <w:hideMark/>
          </w:tcPr>
          <w:p w14:paraId="3DBDAD80" w14:textId="77777777" w:rsidR="0048760D" w:rsidRPr="0048760D" w:rsidRDefault="0048760D" w:rsidP="0048760D">
            <w:pPr>
              <w:jc w:val="center"/>
            </w:pPr>
            <w:r w:rsidRPr="0048760D">
              <w:rPr>
                <w:color w:val="000000"/>
              </w:rPr>
              <w:t>3</w:t>
            </w:r>
          </w:p>
        </w:tc>
        <w:tc>
          <w:tcPr>
            <w:tcW w:w="4760" w:type="dxa"/>
            <w:tcBorders>
              <w:top w:val="single" w:sz="8" w:space="0" w:color="000000"/>
              <w:left w:val="nil"/>
              <w:bottom w:val="single" w:sz="8" w:space="0" w:color="000000"/>
            </w:tcBorders>
            <w:tcMar>
              <w:top w:w="100" w:type="dxa"/>
              <w:left w:w="100" w:type="dxa"/>
              <w:bottom w:w="100" w:type="dxa"/>
              <w:right w:w="100" w:type="dxa"/>
            </w:tcMar>
            <w:hideMark/>
          </w:tcPr>
          <w:p w14:paraId="30B5EDA1" w14:textId="7D36A1BA" w:rsidR="0048760D" w:rsidRPr="0048760D" w:rsidRDefault="00996F66" w:rsidP="0048760D">
            <w:pPr>
              <w:jc w:val="center"/>
            </w:pPr>
            <w:r>
              <w:t>MAI/2018 E MAI/2021</w:t>
            </w:r>
          </w:p>
        </w:tc>
      </w:tr>
    </w:tbl>
    <w:p w14:paraId="598804F3" w14:textId="3DBC0B67" w:rsidR="004C0F51" w:rsidRDefault="0048760D" w:rsidP="00FC5532">
      <w:pPr>
        <w:jc w:val="both"/>
        <w:rPr>
          <w:sz w:val="18"/>
          <w:szCs w:val="18"/>
        </w:rPr>
      </w:pPr>
      <w:r w:rsidRPr="00FC5532">
        <w:rPr>
          <w:color w:val="000000"/>
          <w:sz w:val="18"/>
          <w:szCs w:val="18"/>
        </w:rPr>
        <w:t xml:space="preserve">Fonte: </w:t>
      </w:r>
      <w:r w:rsidR="007335EC">
        <w:rPr>
          <w:sz w:val="18"/>
          <w:szCs w:val="18"/>
        </w:rPr>
        <w:t>Elaborado pelo autor (2022).</w:t>
      </w:r>
    </w:p>
    <w:p w14:paraId="720E4CAD" w14:textId="77777777" w:rsidR="00A84289" w:rsidRPr="00FC5532" w:rsidRDefault="00A84289" w:rsidP="00FC5532">
      <w:pPr>
        <w:jc w:val="both"/>
        <w:rPr>
          <w:color w:val="000000"/>
          <w:sz w:val="18"/>
          <w:szCs w:val="18"/>
        </w:rPr>
      </w:pPr>
    </w:p>
    <w:p w14:paraId="3AD299D8" w14:textId="6CE1FCF4" w:rsidR="004C0F51" w:rsidRDefault="0012343F" w:rsidP="00C02FF0">
      <w:pPr>
        <w:ind w:firstLine="720"/>
        <w:jc w:val="both"/>
        <w:rPr>
          <w:color w:val="000000"/>
        </w:rPr>
      </w:pPr>
      <w:r>
        <w:rPr>
          <w:color w:val="000000"/>
        </w:rPr>
        <w:t>O</w:t>
      </w:r>
      <w:r w:rsidR="00C02FF0">
        <w:rPr>
          <w:color w:val="000000"/>
        </w:rPr>
        <w:t xml:space="preserve"> resultado, após a aplicação da ferramenta “Análise de Componentes Principais” e da clusterização, possibilita a identificação de processos atípicos em uma organização militar, de acordo com o índice atribuído. Assim, quanto mais baixo o índice, mais atípicos são estes processos (por razões indeterminadas), o que ensejaria uma análise minuciosa por parte dos auditores nestes processos específicos. </w:t>
      </w:r>
      <w:r w:rsidR="004C0F51">
        <w:rPr>
          <w:color w:val="000000"/>
        </w:rPr>
        <w:t xml:space="preserve"> </w:t>
      </w:r>
    </w:p>
    <w:p w14:paraId="3C64C79D" w14:textId="77777777" w:rsidR="004C0F51" w:rsidRDefault="004C0F51" w:rsidP="004C0F51">
      <w:pPr>
        <w:ind w:firstLine="720"/>
        <w:jc w:val="both"/>
        <w:rPr>
          <w:color w:val="000000"/>
        </w:rPr>
      </w:pPr>
    </w:p>
    <w:p w14:paraId="014AAB34" w14:textId="4777C89B" w:rsidR="004C0F51" w:rsidRDefault="004C0F51" w:rsidP="004C0F51">
      <w:pPr>
        <w:jc w:val="both"/>
        <w:rPr>
          <w:b/>
          <w:bCs/>
          <w:color w:val="000000"/>
        </w:rPr>
      </w:pPr>
      <w:r>
        <w:rPr>
          <w:b/>
          <w:bCs/>
          <w:color w:val="000000"/>
        </w:rPr>
        <w:t>5 CONSIDERAÇÕES FINAIS</w:t>
      </w:r>
    </w:p>
    <w:p w14:paraId="5957C789" w14:textId="77777777" w:rsidR="00214DEC" w:rsidRDefault="00214DEC" w:rsidP="004C0F51">
      <w:pPr>
        <w:jc w:val="both"/>
        <w:rPr>
          <w:b/>
          <w:bCs/>
          <w:color w:val="000000"/>
        </w:rPr>
      </w:pPr>
    </w:p>
    <w:p w14:paraId="31E7CF6A" w14:textId="77777777" w:rsidR="00214DEC" w:rsidRDefault="004C0F51" w:rsidP="00214DEC">
      <w:pPr>
        <w:ind w:firstLine="720"/>
        <w:jc w:val="both"/>
        <w:rPr>
          <w:color w:val="000000"/>
        </w:rPr>
      </w:pPr>
      <w:r>
        <w:rPr>
          <w:color w:val="000000"/>
        </w:rPr>
        <w:t xml:space="preserve">Esta pesquisa </w:t>
      </w:r>
      <w:r w:rsidRPr="00DA7E2C">
        <w:rPr>
          <w:color w:val="000000"/>
        </w:rPr>
        <w:t>buscou</w:t>
      </w:r>
      <w:r>
        <w:rPr>
          <w:color w:val="2A6099"/>
        </w:rPr>
        <w:t xml:space="preserve"> </w:t>
      </w:r>
      <w:r>
        <w:rPr>
          <w:color w:val="000000"/>
        </w:rPr>
        <w:t xml:space="preserve">demonstrar como a estatística pode ser uma ferramenta para um importante objetivo das atividades de auditoria do CCIMAR, qual seja, a mitigação dos riscos de detecção no planejamento das auditorias de pagamento de pessoal. Esse objetivo foi alcançado após minuciosas pesquisas documental e bibliográfica e pela utilização de procedimentos para o tratamento da base de dados selecionada, com o uso da ACP. </w:t>
      </w:r>
    </w:p>
    <w:p w14:paraId="2EEB0FC9" w14:textId="77777777" w:rsidR="00214DEC" w:rsidRDefault="004C0F51" w:rsidP="00214DEC">
      <w:pPr>
        <w:ind w:firstLine="720"/>
        <w:jc w:val="both"/>
        <w:rPr>
          <w:color w:val="000000"/>
        </w:rPr>
      </w:pPr>
      <w:r>
        <w:rPr>
          <w:color w:val="000000"/>
        </w:rPr>
        <w:t>A pesquisa documental envolveu a análise dos relatórios de pagamento gerados pela PAPEM. A partir desses documentos, foi possível agrupar os processos mensais de pagamento de cada organização militar, baseando-se na semelhança mútua das transações e buscando-se a maior heterogeneidade possível entre os grupos.</w:t>
      </w:r>
    </w:p>
    <w:p w14:paraId="79499710" w14:textId="77777777" w:rsidR="00214DEC" w:rsidRDefault="004C0F51" w:rsidP="00214DEC">
      <w:pPr>
        <w:ind w:firstLine="720"/>
        <w:jc w:val="both"/>
        <w:rPr>
          <w:color w:val="000000"/>
        </w:rPr>
      </w:pPr>
      <w:r>
        <w:rPr>
          <w:color w:val="000000"/>
        </w:rPr>
        <w:t>A pesquisa bibliográfica foi realizada por meio de consultas a livros, dissertações, periódicos e artigos científicos sobre a temática do presente estudo. Essas pesquisas culminaram em conceitos essenciais no tocante à técnica estatística ACP e funcionamento das atividades de auditoria interna governamental.</w:t>
      </w:r>
    </w:p>
    <w:p w14:paraId="6B836A6F" w14:textId="2141EDB9" w:rsidR="004C0F51" w:rsidRDefault="004C0F51" w:rsidP="00214DEC">
      <w:pPr>
        <w:ind w:firstLine="720"/>
        <w:jc w:val="both"/>
        <w:rPr>
          <w:color w:val="000000"/>
        </w:rPr>
      </w:pPr>
      <w:r>
        <w:rPr>
          <w:color w:val="000000"/>
        </w:rPr>
        <w:t>O estudo deu continuidade com a aplicação da técnica de aprendizado de máquina não supervisionado denominada clusterização. Essa técnica foi aplicada na base de dados da pesquisa, que engloba os processos mensais de pagamento de cada organização militar no período de 2018 a 2021.</w:t>
      </w:r>
    </w:p>
    <w:p w14:paraId="61D5BC5F" w14:textId="475AFE81" w:rsidR="008E1879" w:rsidRDefault="004C0F51" w:rsidP="008E1879">
      <w:pPr>
        <w:ind w:firstLine="720"/>
        <w:jc w:val="both"/>
        <w:rPr>
          <w:color w:val="000000"/>
        </w:rPr>
      </w:pPr>
      <w:r>
        <w:rPr>
          <w:color w:val="000000"/>
        </w:rPr>
        <w:t xml:space="preserve">Como resultado, foram gerados </w:t>
      </w:r>
      <w:r w:rsidR="00513668">
        <w:rPr>
          <w:color w:val="000000"/>
        </w:rPr>
        <w:t>5</w:t>
      </w:r>
      <w:r>
        <w:rPr>
          <w:color w:val="000000"/>
        </w:rPr>
        <w:t xml:space="preserve"> (</w:t>
      </w:r>
      <w:r w:rsidR="00513668">
        <w:rPr>
          <w:color w:val="000000"/>
        </w:rPr>
        <w:t>cinco</w:t>
      </w:r>
      <w:r>
        <w:rPr>
          <w:color w:val="000000"/>
        </w:rPr>
        <w:t xml:space="preserve">) </w:t>
      </w:r>
      <w:r w:rsidRPr="002359D5">
        <w:rPr>
          <w:i/>
          <w:iCs/>
          <w:color w:val="000000"/>
        </w:rPr>
        <w:t>clusters</w:t>
      </w:r>
      <w:r>
        <w:rPr>
          <w:color w:val="000000"/>
        </w:rPr>
        <w:t xml:space="preserve"> que englobaram </w:t>
      </w:r>
      <w:r w:rsidR="003B27AF">
        <w:rPr>
          <w:color w:val="000000"/>
        </w:rPr>
        <w:t>os processos</w:t>
      </w:r>
      <w:r w:rsidR="00FC4088">
        <w:rPr>
          <w:color w:val="000000"/>
        </w:rPr>
        <w:t xml:space="preserve"> mensais </w:t>
      </w:r>
      <w:r w:rsidR="003B27AF">
        <w:rPr>
          <w:color w:val="000000"/>
        </w:rPr>
        <w:t xml:space="preserve">que continham alterações de pagamento </w:t>
      </w:r>
      <w:r w:rsidR="00CF2298">
        <w:rPr>
          <w:color w:val="000000"/>
        </w:rPr>
        <w:t xml:space="preserve">das organizações militares </w:t>
      </w:r>
      <w:r>
        <w:rPr>
          <w:color w:val="000000"/>
        </w:rPr>
        <w:t>analisad</w:t>
      </w:r>
      <w:r w:rsidR="00CF2298">
        <w:rPr>
          <w:color w:val="000000"/>
        </w:rPr>
        <w:t>as.</w:t>
      </w:r>
      <w:r>
        <w:rPr>
          <w:color w:val="000000"/>
        </w:rPr>
        <w:t xml:space="preserve"> </w:t>
      </w:r>
      <w:r w:rsidR="00CF2298">
        <w:rPr>
          <w:color w:val="000000"/>
        </w:rPr>
        <w:t xml:space="preserve">Após a aplicação do índice de quantidades de processos da organização militar em cada </w:t>
      </w:r>
      <w:r w:rsidR="00CF2298" w:rsidRPr="00E62811">
        <w:rPr>
          <w:i/>
          <w:iCs/>
          <w:color w:val="000000"/>
        </w:rPr>
        <w:t>cluster</w:t>
      </w:r>
      <w:r w:rsidR="00CF2298">
        <w:rPr>
          <w:color w:val="000000"/>
        </w:rPr>
        <w:t xml:space="preserve">, foi possível identificar quais processos de pagamento deveriam ser objeto de atenção especial por ocasião das auditorias de pagamento de pessoal do CCIMAR. </w:t>
      </w:r>
    </w:p>
    <w:p w14:paraId="698A494B" w14:textId="77777777" w:rsidR="00214DEC" w:rsidRDefault="004C0F51" w:rsidP="00214DEC">
      <w:pPr>
        <w:ind w:firstLine="720"/>
        <w:jc w:val="both"/>
        <w:rPr>
          <w:color w:val="000000"/>
        </w:rPr>
      </w:pPr>
      <w:r>
        <w:rPr>
          <w:color w:val="000000"/>
        </w:rPr>
        <w:lastRenderedPageBreak/>
        <w:t xml:space="preserve">De posse destes resultados, os auditores que atuam no CCIMAR podem </w:t>
      </w:r>
      <w:r w:rsidR="00930DA8">
        <w:rPr>
          <w:color w:val="000000"/>
        </w:rPr>
        <w:t>planejar melhor</w:t>
      </w:r>
      <w:r>
        <w:rPr>
          <w:color w:val="000000"/>
        </w:rPr>
        <w:t xml:space="preserve"> suas atividades de avaliação, aplicando os algoritmos utilizados nesta pesquisa para a </w:t>
      </w:r>
      <w:r w:rsidR="005F6A1F">
        <w:rPr>
          <w:color w:val="000000"/>
        </w:rPr>
        <w:t xml:space="preserve">mais adequada </w:t>
      </w:r>
      <w:r>
        <w:rPr>
          <w:color w:val="000000"/>
        </w:rPr>
        <w:t>seleção dos processos de pagamento para as auditorias de acompanhamento de gestão na MB, com o fito de mitigar-se os riscos de detecção. Isto reduziria a quantidade de processos a ser analisada, gerando um ganho de escala e, consequentemente, maior eficiência nas auditorias.</w:t>
      </w:r>
    </w:p>
    <w:p w14:paraId="67A77D95" w14:textId="6E2DAE72" w:rsidR="004C0F51" w:rsidRDefault="004C0F51" w:rsidP="00214DEC">
      <w:pPr>
        <w:ind w:firstLine="720"/>
        <w:jc w:val="both"/>
        <w:rPr>
          <w:color w:val="000000"/>
        </w:rPr>
      </w:pPr>
      <w:r>
        <w:rPr>
          <w:color w:val="000000"/>
        </w:rPr>
        <w:t>Ressalta-se que uma limitação desta pesquisa foi a utilização de apenas um serviço em nuvem gratuito para a escrituração dos algoritmos, já que tal serviço tem capacidade de processamento de dados limitado.</w:t>
      </w:r>
    </w:p>
    <w:p w14:paraId="1F89BBD6" w14:textId="688E2BAE" w:rsidR="004C0F51" w:rsidRDefault="004C0F51" w:rsidP="004C0F51">
      <w:pPr>
        <w:ind w:firstLine="720"/>
        <w:jc w:val="both"/>
        <w:rPr>
          <w:color w:val="000000"/>
        </w:rPr>
      </w:pPr>
      <w:r>
        <w:rPr>
          <w:color w:val="000000"/>
        </w:rPr>
        <w:t xml:space="preserve">Outro fator limitante foi o acesso restrito a dados de pagamento por parte deste pesquisador. </w:t>
      </w:r>
      <w:r w:rsidRPr="00AD79D3">
        <w:rPr>
          <w:color w:val="000000"/>
        </w:rPr>
        <w:t xml:space="preserve">Desta feita, utilizou-se da totalidade de relatórios repassados por militares da Seção de Pagamentos de Pessoal da PAPEM, que tinham quantidade limitada de informações, não cabendo ao autor deste artigo o crivo quanto à integridade dos dados. </w:t>
      </w:r>
      <w:r w:rsidR="00AF7469" w:rsidRPr="00AD79D3">
        <w:rPr>
          <w:color w:val="000000"/>
        </w:rPr>
        <w:t>Na</w:t>
      </w:r>
      <w:r w:rsidR="00AF7469">
        <w:rPr>
          <w:color w:val="000000"/>
        </w:rPr>
        <w:t>tural</w:t>
      </w:r>
      <w:r>
        <w:rPr>
          <w:color w:val="000000"/>
        </w:rPr>
        <w:t xml:space="preserve">mente, esta dificuldade não existiria por parte do CCIMAR, </w:t>
      </w:r>
      <w:r w:rsidR="00914785">
        <w:rPr>
          <w:color w:val="000000"/>
        </w:rPr>
        <w:t xml:space="preserve">haja vista que </w:t>
      </w:r>
      <w:r>
        <w:rPr>
          <w:color w:val="000000"/>
        </w:rPr>
        <w:t xml:space="preserve">teria pleno acesso </w:t>
      </w:r>
      <w:r w:rsidRPr="006C49E6">
        <w:rPr>
          <w:color w:val="000000"/>
        </w:rPr>
        <w:t xml:space="preserve">a </w:t>
      </w:r>
      <w:r>
        <w:rPr>
          <w:color w:val="000000"/>
        </w:rPr>
        <w:t xml:space="preserve">todas </w:t>
      </w:r>
      <w:r w:rsidRPr="006C49E6">
        <w:rPr>
          <w:color w:val="000000"/>
        </w:rPr>
        <w:t xml:space="preserve">as </w:t>
      </w:r>
      <w:r>
        <w:rPr>
          <w:color w:val="000000"/>
        </w:rPr>
        <w:t xml:space="preserve">informações desejadas/pertinentes. Ressalta-se ainda que o método abordado neste trabalho pode ser replicado para qualquer conjunto de dados similar, o que </w:t>
      </w:r>
      <w:r w:rsidRPr="006C49E6">
        <w:rPr>
          <w:color w:val="000000"/>
        </w:rPr>
        <w:t>reforça</w:t>
      </w:r>
      <w:r>
        <w:rPr>
          <w:color w:val="000000"/>
        </w:rPr>
        <w:t>, pois, a utilidade da pesquisa.</w:t>
      </w:r>
    </w:p>
    <w:p w14:paraId="60E3D030" w14:textId="1EE2D21A" w:rsidR="00AC2514" w:rsidRDefault="004C0F51" w:rsidP="004C0F51">
      <w:pPr>
        <w:ind w:firstLine="720"/>
        <w:jc w:val="both"/>
        <w:rPr>
          <w:color w:val="000000"/>
        </w:rPr>
      </w:pPr>
      <w:r>
        <w:rPr>
          <w:color w:val="000000"/>
        </w:rPr>
        <w:t xml:space="preserve">Assim, sugere-se a realização de estudos futuros, com vistas a: i) construir modelos utilizando máquinas locais com configuração adequada para grande demanda de processamento de dados de forma a atingir resultados mais robustos; </w:t>
      </w:r>
      <w:proofErr w:type="spellStart"/>
      <w:r>
        <w:rPr>
          <w:color w:val="000000"/>
        </w:rPr>
        <w:t>ii</w:t>
      </w:r>
      <w:proofErr w:type="spellEnd"/>
      <w:r>
        <w:rPr>
          <w:color w:val="000000"/>
        </w:rPr>
        <w:t xml:space="preserve">) aplicar a ACP em outras áreas de interesse de auditoria interna da Marinha do Brasil; </w:t>
      </w:r>
      <w:proofErr w:type="gramStart"/>
      <w:r>
        <w:rPr>
          <w:color w:val="000000"/>
        </w:rPr>
        <w:t xml:space="preserve">e </w:t>
      </w:r>
      <w:r w:rsidR="00AC2514">
        <w:rPr>
          <w:color w:val="000000"/>
        </w:rPr>
        <w:t xml:space="preserve"> </w:t>
      </w:r>
      <w:proofErr w:type="spellStart"/>
      <w:r>
        <w:rPr>
          <w:color w:val="000000"/>
        </w:rPr>
        <w:t>iii</w:t>
      </w:r>
      <w:proofErr w:type="spellEnd"/>
      <w:proofErr w:type="gramEnd"/>
      <w:r>
        <w:rPr>
          <w:color w:val="000000"/>
        </w:rPr>
        <w:t xml:space="preserve">) </w:t>
      </w:r>
      <w:r w:rsidR="00AC2514">
        <w:rPr>
          <w:color w:val="000000"/>
        </w:rPr>
        <w:t xml:space="preserve"> </w:t>
      </w:r>
      <w:r>
        <w:rPr>
          <w:color w:val="000000"/>
        </w:rPr>
        <w:t xml:space="preserve">utilizar </w:t>
      </w:r>
      <w:r w:rsidR="00AC2514">
        <w:rPr>
          <w:color w:val="000000"/>
        </w:rPr>
        <w:t xml:space="preserve"> </w:t>
      </w:r>
      <w:r>
        <w:rPr>
          <w:color w:val="000000"/>
        </w:rPr>
        <w:t xml:space="preserve">os </w:t>
      </w:r>
      <w:r w:rsidR="00AC2514">
        <w:rPr>
          <w:color w:val="000000"/>
        </w:rPr>
        <w:t xml:space="preserve"> </w:t>
      </w:r>
      <w:r>
        <w:rPr>
          <w:color w:val="000000"/>
        </w:rPr>
        <w:t xml:space="preserve">perfis </w:t>
      </w:r>
      <w:r w:rsidR="00AC2514">
        <w:rPr>
          <w:color w:val="000000"/>
        </w:rPr>
        <w:t xml:space="preserve"> </w:t>
      </w:r>
      <w:r>
        <w:rPr>
          <w:color w:val="000000"/>
        </w:rPr>
        <w:t xml:space="preserve">encontrados </w:t>
      </w:r>
      <w:r w:rsidR="00AC2514">
        <w:rPr>
          <w:color w:val="000000"/>
        </w:rPr>
        <w:t xml:space="preserve"> </w:t>
      </w:r>
      <w:r>
        <w:rPr>
          <w:color w:val="000000"/>
        </w:rPr>
        <w:t xml:space="preserve">nos </w:t>
      </w:r>
    </w:p>
    <w:p w14:paraId="01F7BA24" w14:textId="755BE16C" w:rsidR="004C0F51" w:rsidRDefault="004C0F51" w:rsidP="00AC2514">
      <w:pPr>
        <w:jc w:val="both"/>
        <w:rPr>
          <w:color w:val="000000"/>
        </w:rPr>
      </w:pPr>
      <w:r w:rsidRPr="002359D5">
        <w:rPr>
          <w:i/>
          <w:iCs/>
          <w:color w:val="000000"/>
        </w:rPr>
        <w:t>cluster</w:t>
      </w:r>
      <w:r>
        <w:rPr>
          <w:color w:val="000000"/>
        </w:rPr>
        <w:t xml:space="preserve"> por meio da ACP como </w:t>
      </w:r>
      <w:r w:rsidRPr="00431AEF">
        <w:rPr>
          <w:i/>
          <w:iCs/>
          <w:color w:val="000000"/>
        </w:rPr>
        <w:t>targets</w:t>
      </w:r>
      <w:r>
        <w:rPr>
          <w:color w:val="000000"/>
        </w:rPr>
        <w:t xml:space="preserve"> para utilização de técnicas de classificação/regressão.</w:t>
      </w:r>
    </w:p>
    <w:p w14:paraId="17ACAFCD" w14:textId="792AA214" w:rsidR="004C0F51" w:rsidRDefault="004C0F51" w:rsidP="004C0F51">
      <w:pPr>
        <w:pStyle w:val="NormalWeb"/>
        <w:spacing w:beforeAutospacing="0" w:afterAutospacing="0"/>
        <w:rPr>
          <w:color w:val="000000"/>
        </w:rPr>
      </w:pPr>
    </w:p>
    <w:p w14:paraId="56E11235" w14:textId="77777777" w:rsidR="004C0F51" w:rsidRDefault="004C0F51" w:rsidP="00214DEC">
      <w:pPr>
        <w:pStyle w:val="NormalWeb"/>
        <w:spacing w:beforeAutospacing="0" w:afterAutospacing="0"/>
        <w:jc w:val="center"/>
        <w:rPr>
          <w:color w:val="000000"/>
        </w:rPr>
      </w:pPr>
      <w:r>
        <w:rPr>
          <w:b/>
          <w:bCs/>
          <w:color w:val="000000"/>
        </w:rPr>
        <w:t>NOTAS</w:t>
      </w:r>
    </w:p>
    <w:p w14:paraId="138457B8" w14:textId="77777777" w:rsidR="004C0F51" w:rsidRDefault="004C0F51" w:rsidP="004C0F51">
      <w:pPr>
        <w:pStyle w:val="NormalWeb"/>
        <w:spacing w:beforeAutospacing="0" w:afterAutospacing="0"/>
        <w:rPr>
          <w:color w:val="000000"/>
        </w:rPr>
      </w:pPr>
      <w:r>
        <w:rPr>
          <w:color w:val="000000"/>
        </w:rPr>
        <w:t> </w:t>
      </w:r>
    </w:p>
    <w:p w14:paraId="64168EE4" w14:textId="50157F93" w:rsidR="004C0F51" w:rsidRPr="00ED06D1" w:rsidRDefault="004C0F51" w:rsidP="00AA6B02">
      <w:pPr>
        <w:pStyle w:val="NormalWeb"/>
        <w:spacing w:beforeAutospacing="0" w:afterAutospacing="0"/>
        <w:ind w:left="720" w:hanging="360"/>
        <w:rPr>
          <w:color w:val="000000"/>
          <w:sz w:val="20"/>
          <w:szCs w:val="20"/>
        </w:rPr>
      </w:pPr>
      <w:r>
        <w:rPr>
          <w:color w:val="000000"/>
          <w:sz w:val="20"/>
          <w:szCs w:val="20"/>
        </w:rPr>
        <w:t>1.</w:t>
      </w:r>
      <w:r>
        <w:rPr>
          <w:color w:val="000000"/>
          <w:sz w:val="14"/>
          <w:szCs w:val="14"/>
        </w:rPr>
        <w:t xml:space="preserve">     </w:t>
      </w:r>
      <w:r>
        <w:rPr>
          <w:color w:val="000000"/>
          <w:sz w:val="20"/>
          <w:szCs w:val="20"/>
        </w:rPr>
        <w:t xml:space="preserve">Acesso ao arquivo utilizado no </w:t>
      </w:r>
      <w:r w:rsidRPr="00327AC8">
        <w:rPr>
          <w:i/>
          <w:iCs/>
          <w:color w:val="000000"/>
          <w:sz w:val="20"/>
          <w:szCs w:val="20"/>
        </w:rPr>
        <w:t xml:space="preserve">Google </w:t>
      </w:r>
      <w:proofErr w:type="spellStart"/>
      <w:r w:rsidRPr="00327AC8">
        <w:rPr>
          <w:i/>
          <w:iCs/>
          <w:sz w:val="20"/>
          <w:szCs w:val="20"/>
        </w:rPr>
        <w:t>Colab</w:t>
      </w:r>
      <w:proofErr w:type="spellEnd"/>
      <w:r w:rsidRPr="00327AC8">
        <w:rPr>
          <w:i/>
          <w:iCs/>
          <w:sz w:val="20"/>
          <w:szCs w:val="20"/>
        </w:rPr>
        <w:t xml:space="preserve"> </w:t>
      </w:r>
      <w:r w:rsidRPr="004C0F51">
        <w:rPr>
          <w:sz w:val="20"/>
          <w:szCs w:val="20"/>
        </w:rPr>
        <w:t xml:space="preserve">no </w:t>
      </w:r>
      <w:r w:rsidR="00AA6B02">
        <w:rPr>
          <w:sz w:val="20"/>
          <w:szCs w:val="20"/>
        </w:rPr>
        <w:t>link</w:t>
      </w:r>
      <w:r w:rsidR="00AA6B02">
        <w:rPr>
          <w:color w:val="000000"/>
        </w:rPr>
        <w:t xml:space="preserve"> </w:t>
      </w:r>
      <w:hyperlink r:id="rId19" w:history="1">
        <w:r w:rsidR="00ED06D1" w:rsidRPr="00ED06D1">
          <w:rPr>
            <w:rStyle w:val="Hyperlink"/>
            <w:sz w:val="20"/>
            <w:szCs w:val="20"/>
          </w:rPr>
          <w:t>https://colab.research.google.com/drive/1-WQF6xk1ZEJcp1832_LEQuvY2FVQVUnn?usp=share_link</w:t>
        </w:r>
      </w:hyperlink>
    </w:p>
    <w:p w14:paraId="470B4C08" w14:textId="77777777" w:rsidR="004C0F51" w:rsidRPr="00ED06D1" w:rsidRDefault="004C0F51" w:rsidP="004C0F51">
      <w:pPr>
        <w:spacing w:line="360" w:lineRule="auto"/>
        <w:ind w:left="-5" w:firstLine="725"/>
        <w:rPr>
          <w:color w:val="000000"/>
          <w:sz w:val="20"/>
          <w:szCs w:val="20"/>
        </w:rPr>
      </w:pPr>
    </w:p>
    <w:p w14:paraId="16AC7B47" w14:textId="67F0418B" w:rsidR="004C0F51" w:rsidRPr="009B3AC4" w:rsidRDefault="009B3AC4" w:rsidP="009B3AC4">
      <w:pPr>
        <w:spacing w:line="259" w:lineRule="auto"/>
        <w:jc w:val="center"/>
        <w:rPr>
          <w:b/>
          <w:bCs/>
          <w:lang w:val="en-US"/>
        </w:rPr>
      </w:pPr>
      <w:r w:rsidRPr="009B3AC4">
        <w:rPr>
          <w:b/>
          <w:bCs/>
          <w:lang w:val="en-US"/>
        </w:rPr>
        <w:t>REFERÊNCIAS</w:t>
      </w:r>
    </w:p>
    <w:p w14:paraId="4DF4078F" w14:textId="77777777" w:rsidR="009B3AC4" w:rsidRDefault="009B3AC4" w:rsidP="007A3CBE">
      <w:pPr>
        <w:jc w:val="both"/>
        <w:rPr>
          <w:rFonts w:ascii="TimesNewRomanPSMT" w:hAnsi="TimesNewRomanPSMT"/>
          <w:lang w:val="en-US"/>
        </w:rPr>
      </w:pPr>
    </w:p>
    <w:p w14:paraId="72021840" w14:textId="52B03BD4" w:rsidR="004C0F51" w:rsidRDefault="004C0F51" w:rsidP="00C5273C">
      <w:pPr>
        <w:rPr>
          <w:rFonts w:ascii="TimesNewRomanPSMT" w:hAnsi="TimesNewRomanPSMT"/>
          <w:lang w:val="en-US"/>
        </w:rPr>
      </w:pPr>
      <w:r>
        <w:rPr>
          <w:rFonts w:ascii="TimesNewRomanPSMT" w:hAnsi="TimesNewRomanPSMT"/>
          <w:lang w:val="en-US"/>
        </w:rPr>
        <w:t xml:space="preserve">ABDI, </w:t>
      </w:r>
      <w:proofErr w:type="spellStart"/>
      <w:r>
        <w:rPr>
          <w:rFonts w:ascii="TimesNewRomanPSMT" w:hAnsi="TimesNewRomanPSMT"/>
          <w:lang w:val="en-US"/>
        </w:rPr>
        <w:t>Hervé</w:t>
      </w:r>
      <w:proofErr w:type="spellEnd"/>
      <w:r>
        <w:rPr>
          <w:rFonts w:ascii="TimesNewRomanPSMT" w:hAnsi="TimesNewRomanPSMT"/>
          <w:lang w:val="en-US"/>
        </w:rPr>
        <w:t>; WILLIAMS, Lynne J. Principal component analysis.</w:t>
      </w:r>
      <w:r>
        <w:rPr>
          <w:rStyle w:val="apple-converted-space"/>
          <w:rFonts w:ascii="Arial" w:hAnsi="Arial" w:cs="Arial"/>
          <w:color w:val="222222"/>
          <w:sz w:val="20"/>
          <w:szCs w:val="20"/>
          <w:shd w:val="clear" w:color="auto" w:fill="FFFFFF"/>
          <w:lang w:val="en-US"/>
        </w:rPr>
        <w:t> </w:t>
      </w:r>
      <w:r>
        <w:rPr>
          <w:rFonts w:ascii="Times" w:hAnsi="Times" w:cs="Arial"/>
          <w:b/>
          <w:bCs/>
          <w:color w:val="222222"/>
          <w:lang w:val="en-US"/>
        </w:rPr>
        <w:t>Wiley interdisciplinary reviews: computational statistics</w:t>
      </w:r>
      <w:r>
        <w:rPr>
          <w:rFonts w:ascii="Arial" w:hAnsi="Arial" w:cs="Arial"/>
          <w:color w:val="222222"/>
          <w:sz w:val="20"/>
          <w:szCs w:val="20"/>
          <w:shd w:val="clear" w:color="auto" w:fill="FFFFFF"/>
          <w:lang w:val="en-US"/>
        </w:rPr>
        <w:t xml:space="preserve">, </w:t>
      </w:r>
      <w:r>
        <w:rPr>
          <w:rFonts w:ascii="TimesNewRomanPSMT" w:hAnsi="TimesNewRomanPSMT"/>
          <w:lang w:val="en-US"/>
        </w:rPr>
        <w:t>v. 2, n. 4, p. 433-459, 2010.</w:t>
      </w:r>
    </w:p>
    <w:p w14:paraId="556937B3" w14:textId="77777777" w:rsidR="004C0F51" w:rsidRDefault="004C0F51" w:rsidP="00C5273C">
      <w:pPr>
        <w:rPr>
          <w:lang w:val="en-US"/>
        </w:rPr>
      </w:pPr>
    </w:p>
    <w:p w14:paraId="408AAFF5" w14:textId="77777777" w:rsidR="004C0F51" w:rsidRDefault="004C0F51" w:rsidP="00C5273C">
      <w:r>
        <w:rPr>
          <w:lang w:val="en-US"/>
        </w:rPr>
        <w:t xml:space="preserve">AGGAEWAL, </w:t>
      </w:r>
      <w:proofErr w:type="spellStart"/>
      <w:r>
        <w:rPr>
          <w:lang w:val="en-US"/>
        </w:rPr>
        <w:t>Charu</w:t>
      </w:r>
      <w:proofErr w:type="spellEnd"/>
      <w:r>
        <w:rPr>
          <w:lang w:val="en-US"/>
        </w:rPr>
        <w:t xml:space="preserve"> C.; REDDY, Chandan K. </w:t>
      </w:r>
      <w:r w:rsidRPr="00F12208">
        <w:rPr>
          <w:b/>
          <w:bCs/>
          <w:lang w:val="en-US"/>
        </w:rPr>
        <w:t>Data Clustering. Algorithms and Applications</w:t>
      </w:r>
      <w:r>
        <w:rPr>
          <w:lang w:val="en-US"/>
        </w:rPr>
        <w:t xml:space="preserve">. </w:t>
      </w:r>
      <w:proofErr w:type="spellStart"/>
      <w:r>
        <w:rPr>
          <w:lang w:val="en-US"/>
        </w:rPr>
        <w:t>Editiona</w:t>
      </w:r>
      <w:proofErr w:type="spellEnd"/>
      <w:r>
        <w:rPr>
          <w:lang w:val="en-US"/>
        </w:rPr>
        <w:t xml:space="preserve"> 1 </w:t>
      </w:r>
      <w:proofErr w:type="spellStart"/>
      <w:r>
        <w:rPr>
          <w:lang w:val="en-US"/>
        </w:rPr>
        <w:t>st</w:t>
      </w:r>
      <w:proofErr w:type="spellEnd"/>
      <w:r>
        <w:rPr>
          <w:lang w:val="en-US"/>
        </w:rPr>
        <w:t xml:space="preserve"> Edition. </w:t>
      </w:r>
      <w:proofErr w:type="spellStart"/>
      <w:r>
        <w:t>First</w:t>
      </w:r>
      <w:proofErr w:type="spellEnd"/>
      <w:r>
        <w:t xml:space="preserve"> </w:t>
      </w:r>
      <w:proofErr w:type="spellStart"/>
      <w:r>
        <w:t>Published</w:t>
      </w:r>
      <w:proofErr w:type="spellEnd"/>
      <w:r>
        <w:t>, 2014.</w:t>
      </w:r>
    </w:p>
    <w:p w14:paraId="238D335B" w14:textId="77777777" w:rsidR="004C0F51" w:rsidRDefault="004C0F51" w:rsidP="00C5273C">
      <w:pPr>
        <w:rPr>
          <w:rFonts w:ascii="TimesNewRomanPSMT" w:hAnsi="TimesNewRomanPSMT"/>
        </w:rPr>
      </w:pPr>
    </w:p>
    <w:p w14:paraId="7AF7EC5E" w14:textId="77777777" w:rsidR="004C0F51" w:rsidRDefault="004C0F51" w:rsidP="00C5273C">
      <w:pPr>
        <w:rPr>
          <w:rFonts w:ascii="TimesNewRomanPSMT" w:hAnsi="TimesNewRomanPSMT"/>
        </w:rPr>
      </w:pPr>
      <w:r>
        <w:rPr>
          <w:rFonts w:ascii="TimesNewRomanPSMT" w:hAnsi="TimesNewRomanPSMT"/>
        </w:rPr>
        <w:t xml:space="preserve">ARAÚJO, Inaldo da Paixão Santos; ARRUDA, Daniel; BARRETO, Pedro Luiz </w:t>
      </w:r>
      <w:proofErr w:type="spellStart"/>
      <w:r>
        <w:rPr>
          <w:rFonts w:ascii="TimesNewRomanPSMT" w:hAnsi="TimesNewRomanPSMT"/>
        </w:rPr>
        <w:t>Manique</w:t>
      </w:r>
      <w:proofErr w:type="spellEnd"/>
      <w:r>
        <w:rPr>
          <w:rFonts w:ascii="Times" w:hAnsi="Times"/>
        </w:rPr>
        <w:t>.</w:t>
      </w:r>
      <w:r>
        <w:rPr>
          <w:rStyle w:val="apple-converted-space"/>
          <w:rFonts w:ascii="Times" w:hAnsi="Times" w:cs="Arial"/>
          <w:color w:val="222222"/>
          <w:shd w:val="clear" w:color="auto" w:fill="FFFFFF"/>
        </w:rPr>
        <w:t> </w:t>
      </w:r>
      <w:r>
        <w:rPr>
          <w:rFonts w:ascii="Times" w:hAnsi="Times" w:cs="Arial"/>
          <w:b/>
          <w:bCs/>
          <w:color w:val="222222"/>
        </w:rPr>
        <w:t>Auditoria contábil: enfoque teórico, normativo e prático</w:t>
      </w:r>
      <w:r>
        <w:rPr>
          <w:rFonts w:ascii="Times" w:hAnsi="Times" w:cs="Arial"/>
          <w:color w:val="222222"/>
          <w:shd w:val="clear" w:color="auto" w:fill="FFFFFF"/>
        </w:rPr>
        <w:t>.</w:t>
      </w:r>
      <w:r>
        <w:rPr>
          <w:rFonts w:ascii="Arial" w:hAnsi="Arial" w:cs="Arial"/>
          <w:color w:val="222222"/>
          <w:sz w:val="20"/>
          <w:szCs w:val="20"/>
          <w:shd w:val="clear" w:color="auto" w:fill="FFFFFF"/>
        </w:rPr>
        <w:t xml:space="preserve"> </w:t>
      </w:r>
      <w:r>
        <w:rPr>
          <w:rFonts w:ascii="TimesNewRomanPSMT" w:hAnsi="TimesNewRomanPSMT"/>
        </w:rPr>
        <w:t>Saraiva, 2008.</w:t>
      </w:r>
    </w:p>
    <w:p w14:paraId="52A6D520" w14:textId="77777777" w:rsidR="00C5273C" w:rsidRDefault="00C5273C" w:rsidP="00C5273C">
      <w:pPr>
        <w:rPr>
          <w:rFonts w:ascii="TimesNewRomanPSMT" w:hAnsi="TimesNewRomanPSMT"/>
        </w:rPr>
      </w:pPr>
    </w:p>
    <w:p w14:paraId="21AC88CB" w14:textId="0FB29FBD" w:rsidR="004C0F51" w:rsidRDefault="004C0F51" w:rsidP="00C5273C">
      <w:pPr>
        <w:rPr>
          <w:rFonts w:ascii="TimesNewRomanPSMT" w:hAnsi="TimesNewRomanPSMT"/>
          <w:lang w:val="en-US"/>
        </w:rPr>
      </w:pPr>
      <w:r>
        <w:rPr>
          <w:rFonts w:ascii="TimesNewRomanPSMT" w:hAnsi="TimesNewRomanPSMT"/>
        </w:rPr>
        <w:t xml:space="preserve">ATTIE, William. </w:t>
      </w:r>
      <w:r w:rsidRPr="00B4495C">
        <w:rPr>
          <w:rFonts w:ascii="TimesNewRomanPSMT" w:hAnsi="TimesNewRomanPSMT"/>
          <w:b/>
          <w:bCs/>
        </w:rPr>
        <w:t>Auditoria: conceitos e Aplicações</w:t>
      </w:r>
      <w:r>
        <w:rPr>
          <w:rFonts w:ascii="TimesNewRomanPSMT" w:hAnsi="TimesNewRomanPSMT"/>
        </w:rPr>
        <w:t xml:space="preserve">. 7ª edição, São Paulo: Atlas. </w:t>
      </w:r>
      <w:r>
        <w:rPr>
          <w:rFonts w:ascii="TimesNewRomanPSMT" w:hAnsi="TimesNewRomanPSMT"/>
          <w:lang w:val="en-US"/>
        </w:rPr>
        <w:t>2018.</w:t>
      </w:r>
    </w:p>
    <w:p w14:paraId="09667EDD" w14:textId="77777777" w:rsidR="00C5273C" w:rsidRDefault="00C5273C" w:rsidP="00C5273C">
      <w:pPr>
        <w:pStyle w:val="NormalWeb"/>
        <w:spacing w:beforeAutospacing="0" w:afterAutospacing="0"/>
        <w:rPr>
          <w:rFonts w:ascii="TimesNewRomanPSMT" w:hAnsi="TimesNewRomanPSMT"/>
          <w:lang w:val="en-US"/>
        </w:rPr>
      </w:pPr>
    </w:p>
    <w:p w14:paraId="73089F6C" w14:textId="654B00B1" w:rsidR="004C0F51" w:rsidRDefault="004C0F51" w:rsidP="00C5273C">
      <w:pPr>
        <w:pStyle w:val="NormalWeb"/>
        <w:spacing w:beforeAutospacing="0" w:afterAutospacing="0"/>
      </w:pPr>
      <w:r>
        <w:rPr>
          <w:rFonts w:ascii="TimesNewRomanPSMT" w:hAnsi="TimesNewRomanPSMT"/>
          <w:lang w:val="en-US"/>
        </w:rPr>
        <w:t xml:space="preserve">BAENSENS, Bart; VLASSELAER, </w:t>
      </w:r>
      <w:proofErr w:type="spellStart"/>
      <w:r>
        <w:rPr>
          <w:rFonts w:ascii="TimesNewRomanPSMT" w:hAnsi="TimesNewRomanPSMT"/>
          <w:lang w:val="en-US"/>
        </w:rPr>
        <w:t>Véronique</w:t>
      </w:r>
      <w:proofErr w:type="spellEnd"/>
      <w:r>
        <w:rPr>
          <w:rFonts w:ascii="TimesNewRomanPSMT" w:hAnsi="TimesNewRomanPSMT"/>
          <w:lang w:val="en-US"/>
        </w:rPr>
        <w:t xml:space="preserve"> Van; VERBEKE, </w:t>
      </w:r>
      <w:proofErr w:type="spellStart"/>
      <w:r>
        <w:rPr>
          <w:rFonts w:ascii="TimesNewRomanPSMT" w:hAnsi="TimesNewRomanPSMT"/>
          <w:lang w:val="en-US"/>
        </w:rPr>
        <w:t>Wouter</w:t>
      </w:r>
      <w:proofErr w:type="spellEnd"/>
      <w:r>
        <w:rPr>
          <w:rFonts w:ascii="TimesNewRomanPSMT" w:hAnsi="TimesNewRomanPSMT"/>
          <w:lang w:val="en-US"/>
        </w:rPr>
        <w:t xml:space="preserve">. </w:t>
      </w:r>
      <w:r w:rsidRPr="00682AEE">
        <w:rPr>
          <w:rFonts w:ascii="TimesNewRomanPS" w:hAnsi="TimesNewRomanPS"/>
          <w:lang w:val="en-US"/>
        </w:rPr>
        <w:t>Fraud analytics:</w:t>
      </w:r>
      <w:r>
        <w:rPr>
          <w:rFonts w:ascii="TimesNewRomanPS" w:hAnsi="TimesNewRomanPS"/>
          <w:b/>
          <w:bCs/>
          <w:lang w:val="en-US"/>
        </w:rPr>
        <w:t xml:space="preserve"> </w:t>
      </w:r>
      <w:r>
        <w:rPr>
          <w:rFonts w:ascii="TimesNewRomanPSMT" w:hAnsi="TimesNewRomanPSMT"/>
          <w:lang w:val="en-US"/>
        </w:rPr>
        <w:t xml:space="preserve">using descriptive, predictive [...] techniques: a guide [...]. </w:t>
      </w:r>
      <w:r>
        <w:rPr>
          <w:rFonts w:ascii="TimesNewRomanPSMT" w:hAnsi="TimesNewRomanPSMT"/>
        </w:rPr>
        <w:t xml:space="preserve">1 ed. </w:t>
      </w:r>
      <w:proofErr w:type="spellStart"/>
      <w:r>
        <w:rPr>
          <w:rFonts w:ascii="TimesNewRomanPSMT" w:hAnsi="TimesNewRomanPSMT"/>
        </w:rPr>
        <w:t>Cary</w:t>
      </w:r>
      <w:proofErr w:type="spellEnd"/>
      <w:r>
        <w:rPr>
          <w:rFonts w:ascii="TimesNewRomanPSMT" w:hAnsi="TimesNewRomanPSMT"/>
        </w:rPr>
        <w:t xml:space="preserve">: </w:t>
      </w:r>
      <w:proofErr w:type="spellStart"/>
      <w:r>
        <w:rPr>
          <w:rFonts w:ascii="TimesNewRomanPSMT" w:hAnsi="TimesNewRomanPSMT"/>
        </w:rPr>
        <w:t>Wiley</w:t>
      </w:r>
      <w:proofErr w:type="spellEnd"/>
      <w:r>
        <w:rPr>
          <w:rFonts w:ascii="TimesNewRomanPSMT" w:hAnsi="TimesNewRomanPSMT"/>
        </w:rPr>
        <w:t xml:space="preserve">, 2015. </w:t>
      </w:r>
    </w:p>
    <w:p w14:paraId="57D2344F" w14:textId="77777777" w:rsidR="00C5273C" w:rsidRDefault="00C5273C" w:rsidP="00C5273C">
      <w:pPr>
        <w:rPr>
          <w:rFonts w:ascii="TimesNewRomanPSMT" w:hAnsi="TimesNewRomanPSMT"/>
        </w:rPr>
      </w:pPr>
    </w:p>
    <w:p w14:paraId="2CD8DD9C" w14:textId="3C1DA1BA" w:rsidR="004C0F51" w:rsidRDefault="004C0F51" w:rsidP="00C5273C">
      <w:pPr>
        <w:rPr>
          <w:rFonts w:ascii="TimesNewRomanPSMT" w:hAnsi="TimesNewRomanPSMT"/>
        </w:rPr>
      </w:pPr>
      <w:r>
        <w:rPr>
          <w:rFonts w:ascii="TimesNewRomanPSMT" w:hAnsi="TimesNewRomanPSMT"/>
        </w:rPr>
        <w:t>BRASIL. [</w:t>
      </w:r>
      <w:proofErr w:type="spellStart"/>
      <w:r>
        <w:rPr>
          <w:rFonts w:ascii="TimesNewRomanPSMT" w:hAnsi="TimesNewRomanPSMT"/>
        </w:rPr>
        <w:t>Constituição</w:t>
      </w:r>
      <w:proofErr w:type="spellEnd"/>
      <w:r>
        <w:rPr>
          <w:rFonts w:ascii="TimesNewRomanPSMT" w:hAnsi="TimesNewRomanPSMT"/>
        </w:rPr>
        <w:t xml:space="preserve"> (1988)]. </w:t>
      </w:r>
      <w:proofErr w:type="spellStart"/>
      <w:r>
        <w:rPr>
          <w:rFonts w:ascii="TimesNewRomanPS" w:hAnsi="TimesNewRomanPS"/>
          <w:b/>
          <w:bCs/>
        </w:rPr>
        <w:t>Constituição</w:t>
      </w:r>
      <w:proofErr w:type="spellEnd"/>
      <w:r>
        <w:rPr>
          <w:rFonts w:ascii="TimesNewRomanPS" w:hAnsi="TimesNewRomanPS"/>
          <w:b/>
          <w:bCs/>
        </w:rPr>
        <w:t xml:space="preserve"> da </w:t>
      </w:r>
      <w:proofErr w:type="spellStart"/>
      <w:r>
        <w:rPr>
          <w:rFonts w:ascii="TimesNewRomanPS" w:hAnsi="TimesNewRomanPS"/>
          <w:b/>
          <w:bCs/>
        </w:rPr>
        <w:t>República</w:t>
      </w:r>
      <w:proofErr w:type="spellEnd"/>
      <w:r>
        <w:rPr>
          <w:rFonts w:ascii="TimesNewRomanPS" w:hAnsi="TimesNewRomanPS"/>
          <w:b/>
          <w:bCs/>
        </w:rPr>
        <w:t xml:space="preserve"> Federativa do Brasil de 1988</w:t>
      </w:r>
      <w:r>
        <w:rPr>
          <w:rFonts w:ascii="TimesNewRomanPSMT" w:hAnsi="TimesNewRomanPSMT"/>
        </w:rPr>
        <w:t xml:space="preserve">. </w:t>
      </w:r>
      <w:proofErr w:type="spellStart"/>
      <w:r>
        <w:rPr>
          <w:rFonts w:ascii="TimesNewRomanPSMT" w:hAnsi="TimesNewRomanPSMT"/>
        </w:rPr>
        <w:t>Brasília</w:t>
      </w:r>
      <w:proofErr w:type="spellEnd"/>
      <w:r>
        <w:rPr>
          <w:rFonts w:ascii="TimesNewRomanPSMT" w:hAnsi="TimesNewRomanPSMT"/>
        </w:rPr>
        <w:t xml:space="preserve">: </w:t>
      </w:r>
      <w:proofErr w:type="spellStart"/>
      <w:r>
        <w:rPr>
          <w:rFonts w:ascii="TimesNewRomanPSMT" w:hAnsi="TimesNewRomanPSMT"/>
        </w:rPr>
        <w:t>Presidência</w:t>
      </w:r>
      <w:proofErr w:type="spellEnd"/>
      <w:r>
        <w:rPr>
          <w:rFonts w:ascii="TimesNewRomanPSMT" w:hAnsi="TimesNewRomanPSMT"/>
        </w:rPr>
        <w:t xml:space="preserve"> da </w:t>
      </w:r>
      <w:proofErr w:type="spellStart"/>
      <w:r>
        <w:rPr>
          <w:rFonts w:ascii="TimesNewRomanPSMT" w:hAnsi="TimesNewRomanPSMT"/>
        </w:rPr>
        <w:t>República</w:t>
      </w:r>
      <w:proofErr w:type="spellEnd"/>
      <w:r>
        <w:rPr>
          <w:rFonts w:ascii="TimesNewRomanPSMT" w:hAnsi="TimesNewRomanPSMT"/>
        </w:rPr>
        <w:t xml:space="preserve">, 41988. </w:t>
      </w:r>
      <w:proofErr w:type="spellStart"/>
      <w:r>
        <w:rPr>
          <w:rFonts w:ascii="TimesNewRomanPSMT" w:hAnsi="TimesNewRomanPSMT"/>
        </w:rPr>
        <w:t>Disponível</w:t>
      </w:r>
      <w:proofErr w:type="spellEnd"/>
      <w:r>
        <w:rPr>
          <w:rFonts w:ascii="TimesNewRomanPSMT" w:hAnsi="TimesNewRomanPSMT"/>
        </w:rPr>
        <w:t xml:space="preserve"> em: http://www.planalto.gov.br/ccivil_03/constituicao/constituicao.htm. Acesso em: 15 set. 2022. </w:t>
      </w:r>
    </w:p>
    <w:p w14:paraId="11B03561" w14:textId="77777777" w:rsidR="00C5273C" w:rsidRDefault="00C5273C" w:rsidP="00C5273C">
      <w:pPr>
        <w:rPr>
          <w:rFonts w:ascii="TimesNewRomanPSMT" w:hAnsi="TimesNewRomanPSMT"/>
        </w:rPr>
      </w:pPr>
    </w:p>
    <w:p w14:paraId="06CDF16B" w14:textId="77777777" w:rsidR="00C5273C" w:rsidRDefault="004C0F51" w:rsidP="00C5273C">
      <w:pPr>
        <w:rPr>
          <w:rFonts w:ascii="TimesNewRomanPSMT" w:hAnsi="TimesNewRomanPSMT"/>
        </w:rPr>
      </w:pPr>
      <w:r>
        <w:rPr>
          <w:rFonts w:ascii="TimesNewRomanPSMT" w:hAnsi="TimesNewRomanPSMT"/>
        </w:rPr>
        <w:t xml:space="preserve">BRASIL. Controladoria-Geral da União. </w:t>
      </w:r>
      <w:proofErr w:type="spellStart"/>
      <w:r>
        <w:rPr>
          <w:rFonts w:ascii="TimesNewRomanPS" w:hAnsi="TimesNewRomanPS"/>
          <w:b/>
          <w:bCs/>
        </w:rPr>
        <w:t>Instrução</w:t>
      </w:r>
      <w:proofErr w:type="spellEnd"/>
      <w:r>
        <w:rPr>
          <w:rFonts w:ascii="TimesNewRomanPS" w:hAnsi="TimesNewRomanPS"/>
          <w:b/>
          <w:bCs/>
        </w:rPr>
        <w:t xml:space="preserve"> Normativa no 3, de 9 de junho de 2017</w:t>
      </w:r>
      <w:r>
        <w:rPr>
          <w:rFonts w:ascii="TimesNewRomanPSMT" w:hAnsi="TimesNewRomanPSMT"/>
        </w:rPr>
        <w:t xml:space="preserve">. Aprova o Referencial </w:t>
      </w:r>
      <w:proofErr w:type="spellStart"/>
      <w:r>
        <w:rPr>
          <w:rFonts w:ascii="TimesNewRomanPSMT" w:hAnsi="TimesNewRomanPSMT"/>
        </w:rPr>
        <w:t>Técnico</w:t>
      </w:r>
      <w:proofErr w:type="spellEnd"/>
      <w:r>
        <w:rPr>
          <w:rFonts w:ascii="TimesNewRomanPSMT" w:hAnsi="TimesNewRomanPSMT"/>
        </w:rPr>
        <w:t xml:space="preserve"> da Atividade de Auditoria Interna Governamental do Poder </w:t>
      </w:r>
      <w:r>
        <w:rPr>
          <w:rFonts w:ascii="TimesNewRomanPSMT" w:hAnsi="TimesNewRomanPSMT"/>
        </w:rPr>
        <w:lastRenderedPageBreak/>
        <w:t xml:space="preserve">Executivo Federal. </w:t>
      </w:r>
      <w:proofErr w:type="spellStart"/>
      <w:r>
        <w:rPr>
          <w:rFonts w:ascii="TimesNewRomanPSMT" w:hAnsi="TimesNewRomanPSMT"/>
        </w:rPr>
        <w:t>Brasília</w:t>
      </w:r>
      <w:proofErr w:type="spellEnd"/>
      <w:r>
        <w:rPr>
          <w:rFonts w:ascii="TimesNewRomanPSMT" w:hAnsi="TimesNewRomanPSMT"/>
        </w:rPr>
        <w:t xml:space="preserve">: Controladoria-Geral da </w:t>
      </w:r>
      <w:proofErr w:type="spellStart"/>
      <w:r>
        <w:rPr>
          <w:rFonts w:ascii="TimesNewRomanPSMT" w:hAnsi="TimesNewRomanPSMT"/>
        </w:rPr>
        <w:t>União</w:t>
      </w:r>
      <w:proofErr w:type="spellEnd"/>
      <w:r>
        <w:rPr>
          <w:rFonts w:ascii="TimesNewRomanPSMT" w:hAnsi="TimesNewRomanPSMT"/>
        </w:rPr>
        <w:t xml:space="preserve">, 2017a. </w:t>
      </w:r>
      <w:proofErr w:type="spellStart"/>
      <w:r>
        <w:rPr>
          <w:rFonts w:ascii="TimesNewRomanPSMT" w:hAnsi="TimesNewRomanPSMT"/>
        </w:rPr>
        <w:t>Disponível</w:t>
      </w:r>
      <w:proofErr w:type="spellEnd"/>
      <w:r>
        <w:rPr>
          <w:rFonts w:ascii="TimesNewRomanPSMT" w:hAnsi="TimesNewRomanPSMT"/>
        </w:rPr>
        <w:t xml:space="preserve"> em: https://www.in.gov.br/materia/-/asset_publisher/Kujrw0TZC2Mb/content/id/19111706/do1- 2017-06-12-instrucao-normativa-n-3-de-9-de-junho-de-2017-19111304. Acesso em: 12 jul. </w:t>
      </w:r>
    </w:p>
    <w:p w14:paraId="16BA6864" w14:textId="0821768F" w:rsidR="004C0F51" w:rsidRDefault="004C0F51" w:rsidP="00C5273C">
      <w:pPr>
        <w:rPr>
          <w:rFonts w:ascii="TimesNewRomanPSMT" w:hAnsi="TimesNewRomanPSMT"/>
        </w:rPr>
      </w:pPr>
      <w:r>
        <w:rPr>
          <w:rFonts w:ascii="TimesNewRomanPSMT" w:hAnsi="TimesNewRomanPSMT"/>
        </w:rPr>
        <w:t xml:space="preserve">2022. </w:t>
      </w:r>
    </w:p>
    <w:p w14:paraId="06DF6B18" w14:textId="77777777" w:rsidR="00C5273C" w:rsidRDefault="00C5273C" w:rsidP="00C5273C">
      <w:pPr>
        <w:rPr>
          <w:rFonts w:ascii="TimesNewRomanPSMT" w:hAnsi="TimesNewRomanPSMT"/>
        </w:rPr>
      </w:pPr>
    </w:p>
    <w:p w14:paraId="08437915" w14:textId="2FFC8DFA" w:rsidR="004C0F51" w:rsidRDefault="004C0F51" w:rsidP="00C5273C">
      <w:pPr>
        <w:rPr>
          <w:rFonts w:ascii="TimesNewRomanPSMT" w:hAnsi="TimesNewRomanPSMT"/>
        </w:rPr>
      </w:pPr>
      <w:r>
        <w:rPr>
          <w:rFonts w:ascii="TimesNewRomanPSMT" w:hAnsi="TimesNewRomanPSMT"/>
        </w:rPr>
        <w:t xml:space="preserve">BRASIL. Controladoria-Geral da União. </w:t>
      </w:r>
      <w:proofErr w:type="spellStart"/>
      <w:r>
        <w:rPr>
          <w:rFonts w:ascii="TimesNewRomanPS" w:hAnsi="TimesNewRomanPS"/>
          <w:b/>
          <w:bCs/>
        </w:rPr>
        <w:t>Instrução</w:t>
      </w:r>
      <w:proofErr w:type="spellEnd"/>
      <w:r>
        <w:rPr>
          <w:rFonts w:ascii="TimesNewRomanPS" w:hAnsi="TimesNewRomanPS"/>
          <w:b/>
          <w:bCs/>
        </w:rPr>
        <w:t xml:space="preserve"> Normativa no 8, de 6 de dezembro de 2017</w:t>
      </w:r>
      <w:r>
        <w:rPr>
          <w:rFonts w:ascii="TimesNewRomanPSMT" w:hAnsi="TimesNewRomanPSMT"/>
        </w:rPr>
        <w:t xml:space="preserve">. Aprova o Manual de Orientações Técnicas da Atividade de Auditoria Interna Governamental do Poder Executivo Federal. </w:t>
      </w:r>
      <w:proofErr w:type="spellStart"/>
      <w:r>
        <w:rPr>
          <w:rFonts w:ascii="TimesNewRomanPSMT" w:hAnsi="TimesNewRomanPSMT"/>
        </w:rPr>
        <w:t>Brasília</w:t>
      </w:r>
      <w:proofErr w:type="spellEnd"/>
      <w:r>
        <w:rPr>
          <w:rFonts w:ascii="TimesNewRomanPSMT" w:hAnsi="TimesNewRomanPSMT"/>
        </w:rPr>
        <w:t xml:space="preserve">: Controladoria-Geral da </w:t>
      </w:r>
      <w:proofErr w:type="spellStart"/>
      <w:r>
        <w:rPr>
          <w:rFonts w:ascii="TimesNewRomanPSMT" w:hAnsi="TimesNewRomanPSMT"/>
        </w:rPr>
        <w:t>União</w:t>
      </w:r>
      <w:proofErr w:type="spellEnd"/>
      <w:r>
        <w:rPr>
          <w:rFonts w:ascii="TimesNewRomanPSMT" w:hAnsi="TimesNewRomanPSMT"/>
        </w:rPr>
        <w:t xml:space="preserve">, 2017b. </w:t>
      </w:r>
      <w:proofErr w:type="spellStart"/>
      <w:r>
        <w:rPr>
          <w:rFonts w:ascii="TimesNewRomanPSMT" w:hAnsi="TimesNewRomanPSMT"/>
        </w:rPr>
        <w:t>Disponível</w:t>
      </w:r>
      <w:proofErr w:type="spellEnd"/>
      <w:r>
        <w:rPr>
          <w:rFonts w:ascii="TimesNewRomanPSMT" w:hAnsi="TimesNewRomanPSMT"/>
        </w:rPr>
        <w:t xml:space="preserve"> em: https://www.in.gov.br/materia/- /asset_publisher/Kujrw0TZC2Mb/content/id/19111706/do1-2017-06-12-instrucao-normativa- n-3-de-9-de-junho-de-2017-19111304. Acesso em: 25 ago. 2022. </w:t>
      </w:r>
    </w:p>
    <w:p w14:paraId="05D7A42E" w14:textId="77777777" w:rsidR="00C5273C" w:rsidRDefault="00C5273C" w:rsidP="00C5273C">
      <w:pPr>
        <w:rPr>
          <w:rFonts w:ascii="TimesNewRomanPSMT" w:hAnsi="TimesNewRomanPSMT"/>
        </w:rPr>
      </w:pPr>
    </w:p>
    <w:p w14:paraId="1F88C950" w14:textId="441C1ED5" w:rsidR="004C0F51" w:rsidRPr="00FC5532" w:rsidRDefault="004C0F51" w:rsidP="00C5273C">
      <w:pPr>
        <w:rPr>
          <w:rFonts w:ascii="TimesNewRomanPSMT" w:hAnsi="TimesNewRomanPSMT"/>
        </w:rPr>
      </w:pPr>
      <w:r>
        <w:rPr>
          <w:rFonts w:ascii="TimesNewRomanPSMT" w:hAnsi="TimesNewRomanPSMT"/>
        </w:rPr>
        <w:t xml:space="preserve">BRASIL. </w:t>
      </w:r>
      <w:proofErr w:type="spellStart"/>
      <w:r>
        <w:rPr>
          <w:rFonts w:ascii="TimesNewRomanPSMT" w:hAnsi="TimesNewRomanPSMT"/>
        </w:rPr>
        <w:t>Ministério</w:t>
      </w:r>
      <w:proofErr w:type="spellEnd"/>
      <w:r>
        <w:rPr>
          <w:rFonts w:ascii="TimesNewRomanPSMT" w:hAnsi="TimesNewRomanPSMT"/>
        </w:rPr>
        <w:t xml:space="preserve"> da Defesa. Marinha do Brasil. </w:t>
      </w:r>
      <w:r>
        <w:rPr>
          <w:rFonts w:ascii="TimesNewRomanPS" w:hAnsi="TimesNewRomanPS"/>
          <w:b/>
          <w:bCs/>
        </w:rPr>
        <w:t xml:space="preserve">Portaria no 19/2021, de 18 de maio de 2021. </w:t>
      </w:r>
      <w:r>
        <w:rPr>
          <w:rFonts w:ascii="TimesNewRomanPSMT" w:hAnsi="TimesNewRomanPSMT"/>
        </w:rPr>
        <w:t xml:space="preserve">Aprova o Estatuto de Auditoria Interna da Marinha do Brasil. </w:t>
      </w:r>
      <w:proofErr w:type="spellStart"/>
      <w:r>
        <w:rPr>
          <w:rFonts w:ascii="TimesNewRomanPSMT" w:hAnsi="TimesNewRomanPSMT"/>
        </w:rPr>
        <w:t>Diário</w:t>
      </w:r>
      <w:proofErr w:type="spellEnd"/>
      <w:r>
        <w:rPr>
          <w:rFonts w:ascii="TimesNewRomanPSMT" w:hAnsi="TimesNewRomanPSMT"/>
        </w:rPr>
        <w:t xml:space="preserve"> Oficial da </w:t>
      </w:r>
      <w:proofErr w:type="spellStart"/>
      <w:r>
        <w:rPr>
          <w:rFonts w:ascii="TimesNewRomanPSMT" w:hAnsi="TimesNewRomanPSMT"/>
        </w:rPr>
        <w:t>União</w:t>
      </w:r>
      <w:proofErr w:type="spellEnd"/>
      <w:r>
        <w:rPr>
          <w:rFonts w:ascii="TimesNewRomanPSMT" w:hAnsi="TimesNewRomanPSMT"/>
        </w:rPr>
        <w:t xml:space="preserve"> </w:t>
      </w:r>
      <w:proofErr w:type="spellStart"/>
      <w:r>
        <w:rPr>
          <w:rFonts w:ascii="TimesNewRomanPSMT" w:hAnsi="TimesNewRomanPSMT"/>
        </w:rPr>
        <w:t>Brasília</w:t>
      </w:r>
      <w:proofErr w:type="spellEnd"/>
      <w:r>
        <w:rPr>
          <w:rFonts w:ascii="TimesNewRomanPSMT" w:hAnsi="TimesNewRomanPSMT"/>
        </w:rPr>
        <w:t xml:space="preserve">, DF, 18 </w:t>
      </w:r>
      <w:r>
        <w:rPr>
          <w:rFonts w:ascii="TimesNewRomanPSMT" w:hAnsi="TimesNewRomanPSMT"/>
          <w:shd w:val="clear" w:color="auto" w:fill="FFFFFF"/>
        </w:rPr>
        <w:t>mai. 2021</w:t>
      </w:r>
      <w:r>
        <w:rPr>
          <w:rFonts w:ascii="TimesNewRomanPSMT" w:hAnsi="TimesNewRomanPSMT"/>
        </w:rPr>
        <w:t xml:space="preserve">. </w:t>
      </w:r>
      <w:proofErr w:type="spellStart"/>
      <w:r>
        <w:rPr>
          <w:rFonts w:ascii="TimesNewRomanPSMT" w:hAnsi="TimesNewRomanPSMT"/>
        </w:rPr>
        <w:t>Disponível</w:t>
      </w:r>
      <w:proofErr w:type="spellEnd"/>
      <w:r>
        <w:rPr>
          <w:rFonts w:ascii="TimesNewRomanPSMT" w:hAnsi="TimesNewRomanPSMT"/>
        </w:rPr>
        <w:t xml:space="preserve"> em: https://www.jusbrasil.com.br/diarios/1127506557/dou-secao-1-20-05-2021-pg-20. </w:t>
      </w:r>
      <w:r w:rsidRPr="00FC5532">
        <w:rPr>
          <w:rFonts w:ascii="TimesNewRomanPSMT" w:hAnsi="TimesNewRomanPSMT"/>
        </w:rPr>
        <w:t xml:space="preserve">Acesso em: 19 jul. 2022. </w:t>
      </w:r>
    </w:p>
    <w:p w14:paraId="7E7F721E" w14:textId="77777777" w:rsidR="00C5273C" w:rsidRDefault="00C5273C" w:rsidP="00C5273C">
      <w:pPr>
        <w:widowControl w:val="0"/>
      </w:pPr>
    </w:p>
    <w:p w14:paraId="1F1988DB" w14:textId="3CC2212C" w:rsidR="0048760D" w:rsidRDefault="0048760D" w:rsidP="00C5273C">
      <w:pPr>
        <w:widowControl w:val="0"/>
        <w:rPr>
          <w:lang w:val="en-US"/>
        </w:rPr>
      </w:pPr>
      <w:r>
        <w:t xml:space="preserve">BRASIL. </w:t>
      </w:r>
      <w:r>
        <w:fldChar w:fldCharType="begin"/>
      </w:r>
      <w:r>
        <w:instrText>ADDIN ZOTERO_BIBL {"uncited":[],"omitted":[],"custom":[]} CSL_BIBLIOGRAPHY</w:instrText>
      </w:r>
      <w:r>
        <w:fldChar w:fldCharType="separate"/>
      </w:r>
      <w:r>
        <w:rPr>
          <w:b/>
          <w:bCs/>
        </w:rPr>
        <w:t>Painel do Orçamento Federal</w:t>
      </w:r>
      <w:r>
        <w:t xml:space="preserve">. Disponível em: &lt;https://www1.siop.planejamento.gov.br/QvAJAXZfc/opendoc.htm?document=IAS%2FExecucao_Orcamentaria.qvw&amp;host=QVS%40pqlk04&amp;anonymous=true&gt;. </w:t>
      </w:r>
      <w:r>
        <w:rPr>
          <w:lang w:val="en-US"/>
        </w:rPr>
        <w:t xml:space="preserve">Acesso em: 15 set. 2022. </w:t>
      </w:r>
    </w:p>
    <w:p w14:paraId="7F3B8AE1" w14:textId="77777777" w:rsidR="00C5273C" w:rsidRPr="00ED06D1" w:rsidRDefault="0048760D" w:rsidP="00C5273C">
      <w:pPr>
        <w:rPr>
          <w:lang w:val="en-US"/>
        </w:rPr>
      </w:pPr>
      <w:r>
        <w:fldChar w:fldCharType="end"/>
      </w:r>
    </w:p>
    <w:p w14:paraId="53F2D612" w14:textId="7A49E0A1" w:rsidR="004C0F51" w:rsidRDefault="004C0F51" w:rsidP="00C5273C">
      <w:pPr>
        <w:rPr>
          <w:rFonts w:ascii="TimesNewRomanPSMT" w:hAnsi="TimesNewRomanPSMT"/>
          <w:lang w:val="en-US"/>
        </w:rPr>
      </w:pPr>
      <w:r>
        <w:rPr>
          <w:rFonts w:ascii="TimesNewRomanPSMT" w:hAnsi="TimesNewRomanPSMT"/>
          <w:lang w:val="en-US"/>
        </w:rPr>
        <w:t>BRUCE, Peter; BRUCE, Andrew; GEDECK, Peter.</w:t>
      </w:r>
      <w:r>
        <w:rPr>
          <w:rStyle w:val="apple-converted-space"/>
          <w:rFonts w:ascii="Arial" w:hAnsi="Arial" w:cs="Arial"/>
          <w:color w:val="222222"/>
          <w:sz w:val="20"/>
          <w:szCs w:val="20"/>
          <w:shd w:val="clear" w:color="auto" w:fill="FFFFFF"/>
          <w:lang w:val="en-US"/>
        </w:rPr>
        <w:t> </w:t>
      </w:r>
      <w:r>
        <w:rPr>
          <w:rFonts w:ascii="Times" w:hAnsi="Times" w:cs="Arial"/>
          <w:b/>
          <w:bCs/>
          <w:color w:val="222222"/>
          <w:lang w:val="en-US"/>
        </w:rPr>
        <w:t>Practical statistics for data scientists: 50+ essential concepts using R and Python</w:t>
      </w:r>
      <w:r>
        <w:rPr>
          <w:rFonts w:ascii="Times" w:hAnsi="Times" w:cs="Arial"/>
          <w:color w:val="222222"/>
          <w:shd w:val="clear" w:color="auto" w:fill="FFFFFF"/>
          <w:lang w:val="en-US"/>
        </w:rPr>
        <w:t>.</w:t>
      </w:r>
      <w:r>
        <w:rPr>
          <w:rFonts w:ascii="Arial" w:hAnsi="Arial" w:cs="Arial"/>
          <w:color w:val="222222"/>
          <w:sz w:val="20"/>
          <w:szCs w:val="20"/>
          <w:shd w:val="clear" w:color="auto" w:fill="FFFFFF"/>
          <w:lang w:val="en-US"/>
        </w:rPr>
        <w:t xml:space="preserve"> </w:t>
      </w:r>
      <w:r>
        <w:rPr>
          <w:rFonts w:ascii="TimesNewRomanPSMT" w:hAnsi="TimesNewRomanPSMT"/>
          <w:lang w:val="en-US"/>
        </w:rPr>
        <w:t>O'Reilly Media, 2020.</w:t>
      </w:r>
    </w:p>
    <w:p w14:paraId="380965EC" w14:textId="77777777" w:rsidR="00C5273C" w:rsidRDefault="00C5273C" w:rsidP="00C5273C">
      <w:pPr>
        <w:rPr>
          <w:rFonts w:ascii="TimesNewRomanPSMT" w:hAnsi="TimesNewRomanPSMT"/>
          <w:lang w:val="en-US"/>
        </w:rPr>
      </w:pPr>
    </w:p>
    <w:p w14:paraId="260B4D27" w14:textId="2A4BC676" w:rsidR="004C0F51" w:rsidRDefault="004C0F51" w:rsidP="00C5273C">
      <w:pPr>
        <w:rPr>
          <w:rFonts w:ascii="TimesNewRomanPSMT" w:hAnsi="TimesNewRomanPSMT"/>
          <w:lang w:val="en-US"/>
        </w:rPr>
      </w:pPr>
      <w:r>
        <w:rPr>
          <w:rFonts w:ascii="TimesNewRomanPSMT" w:hAnsi="TimesNewRomanPSMT"/>
          <w:lang w:val="en-US"/>
        </w:rPr>
        <w:t>CELEBI, M. Emre (Ed.).</w:t>
      </w:r>
      <w:r>
        <w:rPr>
          <w:rStyle w:val="apple-converted-space"/>
          <w:rFonts w:ascii="Arial" w:hAnsi="Arial" w:cs="Arial"/>
          <w:color w:val="222222"/>
          <w:sz w:val="20"/>
          <w:szCs w:val="20"/>
          <w:shd w:val="clear" w:color="auto" w:fill="FFFFFF"/>
          <w:lang w:val="en-US"/>
        </w:rPr>
        <w:t> </w:t>
      </w:r>
      <w:r>
        <w:rPr>
          <w:rFonts w:ascii="TimesNewRomanPSMT" w:hAnsi="TimesNewRomanPSMT"/>
          <w:b/>
          <w:bCs/>
          <w:lang w:val="en-US"/>
        </w:rPr>
        <w:t>Partitional clustering algorithms</w:t>
      </w:r>
      <w:r>
        <w:rPr>
          <w:rFonts w:ascii="Arial" w:hAnsi="Arial" w:cs="Arial"/>
          <w:color w:val="222222"/>
          <w:sz w:val="20"/>
          <w:szCs w:val="20"/>
          <w:shd w:val="clear" w:color="auto" w:fill="FFFFFF"/>
          <w:lang w:val="en-US"/>
        </w:rPr>
        <w:t xml:space="preserve">. </w:t>
      </w:r>
      <w:r>
        <w:rPr>
          <w:rFonts w:ascii="TimesNewRomanPSMT" w:hAnsi="TimesNewRomanPSMT"/>
          <w:lang w:val="en-US"/>
        </w:rPr>
        <w:t>Springer, 2014.</w:t>
      </w:r>
    </w:p>
    <w:p w14:paraId="0B3498D1" w14:textId="77777777" w:rsidR="00C5273C" w:rsidRPr="00ED06D1" w:rsidRDefault="00C5273C" w:rsidP="00C5273C">
      <w:pPr>
        <w:rPr>
          <w:rFonts w:ascii="TimesNewRomanPSMT" w:hAnsi="TimesNewRomanPSMT"/>
          <w:lang w:val="en-US"/>
        </w:rPr>
      </w:pPr>
    </w:p>
    <w:p w14:paraId="1A9B9821" w14:textId="4382C7B7" w:rsidR="004C0F51" w:rsidRDefault="004C0F51" w:rsidP="00C5273C">
      <w:r>
        <w:rPr>
          <w:rFonts w:ascii="TimesNewRomanPSMT" w:hAnsi="TimesNewRomanPSMT"/>
        </w:rPr>
        <w:t xml:space="preserve">CEREALI, Valdir (2011). </w:t>
      </w:r>
      <w:proofErr w:type="spellStart"/>
      <w:r>
        <w:rPr>
          <w:rFonts w:ascii="TimesNewRomanPS" w:hAnsi="TimesNewRomanPS"/>
          <w:b/>
          <w:bCs/>
        </w:rPr>
        <w:t>Determinação</w:t>
      </w:r>
      <w:proofErr w:type="spellEnd"/>
      <w:r>
        <w:rPr>
          <w:rFonts w:ascii="TimesNewRomanPS" w:hAnsi="TimesNewRomanPS"/>
          <w:b/>
          <w:bCs/>
        </w:rPr>
        <w:t xml:space="preserve"> de amostragem em exames de auditoria utilizando-se de métodos quantitativos. </w:t>
      </w:r>
      <w:proofErr w:type="spellStart"/>
      <w:r>
        <w:rPr>
          <w:rFonts w:ascii="TimesNewRomanPSMT" w:hAnsi="TimesNewRomanPSMT"/>
        </w:rPr>
        <w:t>Cuiaba</w:t>
      </w:r>
      <w:proofErr w:type="spellEnd"/>
      <w:r>
        <w:rPr>
          <w:rFonts w:ascii="TimesNewRomanPSMT" w:hAnsi="TimesNewRomanPSMT"/>
        </w:rPr>
        <w:t xml:space="preserve">́: Revista </w:t>
      </w:r>
      <w:proofErr w:type="spellStart"/>
      <w:r>
        <w:rPr>
          <w:rFonts w:ascii="TimesNewRomanPSMT" w:hAnsi="TimesNewRomanPSMT"/>
        </w:rPr>
        <w:t>Técnica</w:t>
      </w:r>
      <w:proofErr w:type="spellEnd"/>
      <w:r>
        <w:rPr>
          <w:rFonts w:ascii="TimesNewRomanPSMT" w:hAnsi="TimesNewRomanPSMT"/>
        </w:rPr>
        <w:t xml:space="preserve"> do Tribunal de Contas do Estado do Mato Grosso. 6a ed</w:t>
      </w:r>
      <w:r>
        <w:rPr>
          <w:rFonts w:ascii="TimesNewRomanPS" w:hAnsi="TimesNewRomanPS"/>
          <w:b/>
          <w:bCs/>
        </w:rPr>
        <w:t xml:space="preserve">. </w:t>
      </w:r>
      <w:r>
        <w:rPr>
          <w:rFonts w:ascii="TimesNewRomanPSMT" w:hAnsi="TimesNewRomanPSMT"/>
        </w:rPr>
        <w:t xml:space="preserve">p. 183-186, </w:t>
      </w:r>
      <w:proofErr w:type="spellStart"/>
      <w:r>
        <w:rPr>
          <w:rFonts w:ascii="TimesNewRomanPSMT" w:hAnsi="TimesNewRomanPSMT"/>
        </w:rPr>
        <w:t>Cuiaba</w:t>
      </w:r>
      <w:proofErr w:type="spellEnd"/>
      <w:r>
        <w:rPr>
          <w:rFonts w:ascii="TimesNewRomanPSMT" w:hAnsi="TimesNewRomanPSMT"/>
        </w:rPr>
        <w:t xml:space="preserve">́, 2011. </w:t>
      </w:r>
      <w:proofErr w:type="spellStart"/>
      <w:r>
        <w:rPr>
          <w:rFonts w:ascii="TimesNewRomanPSMT" w:hAnsi="TimesNewRomanPSMT"/>
        </w:rPr>
        <w:t>Disponível</w:t>
      </w:r>
      <w:proofErr w:type="spellEnd"/>
      <w:r>
        <w:rPr>
          <w:rFonts w:ascii="TimesNewRomanPSMT" w:hAnsi="TimesNewRomanPSMT"/>
        </w:rPr>
        <w:t xml:space="preserve"> em: https://www.tce.mt.gov.br/uploads/flipbook/Revista6ed/184/index.html. Acesso em 19 set. 2022. </w:t>
      </w:r>
    </w:p>
    <w:p w14:paraId="0B138D54" w14:textId="77777777" w:rsidR="00C5273C" w:rsidRDefault="00C5273C" w:rsidP="00C5273C">
      <w:pPr>
        <w:rPr>
          <w:rFonts w:ascii="TimesNewRomanPSMT" w:hAnsi="TimesNewRomanPSMT"/>
        </w:rPr>
      </w:pPr>
    </w:p>
    <w:p w14:paraId="5E27DDFD" w14:textId="7BD73B86" w:rsidR="004C0F51" w:rsidRDefault="004C0F51" w:rsidP="00C5273C">
      <w:r>
        <w:rPr>
          <w:rFonts w:ascii="TimesNewRomanPSMT" w:hAnsi="TimesNewRomanPSMT"/>
        </w:rPr>
        <w:t xml:space="preserve">CONSELHO FEDERAL DE CONTABILIDADE. </w:t>
      </w:r>
      <w:r>
        <w:rPr>
          <w:rFonts w:ascii="TimesNewRomanPS" w:hAnsi="TimesNewRomanPS"/>
          <w:b/>
          <w:bCs/>
        </w:rPr>
        <w:t>NBC TA 500 (R1)</w:t>
      </w:r>
      <w:r>
        <w:rPr>
          <w:rFonts w:ascii="TimesNewRomanPSMT" w:hAnsi="TimesNewRomanPSMT"/>
        </w:rPr>
        <w:t xml:space="preserve">: Objetivos Gerais do Auditor Independente e a </w:t>
      </w:r>
      <w:proofErr w:type="spellStart"/>
      <w:r>
        <w:rPr>
          <w:rFonts w:ascii="TimesNewRomanPSMT" w:hAnsi="TimesNewRomanPSMT"/>
        </w:rPr>
        <w:t>Condução</w:t>
      </w:r>
      <w:proofErr w:type="spellEnd"/>
      <w:r>
        <w:rPr>
          <w:rFonts w:ascii="TimesNewRomanPSMT" w:hAnsi="TimesNewRomanPSMT"/>
        </w:rPr>
        <w:t xml:space="preserve"> da Auditoria em Conformidade com Normas de Auditoria. </w:t>
      </w:r>
      <w:proofErr w:type="spellStart"/>
      <w:r>
        <w:rPr>
          <w:rFonts w:ascii="TimesNewRomanPSMT" w:hAnsi="TimesNewRomanPSMT"/>
        </w:rPr>
        <w:t>Brasília</w:t>
      </w:r>
      <w:proofErr w:type="spellEnd"/>
      <w:r>
        <w:rPr>
          <w:rFonts w:ascii="TimesNewRomanPSMT" w:hAnsi="TimesNewRomanPSMT"/>
        </w:rPr>
        <w:t xml:space="preserve">: CFC, 2016. </w:t>
      </w:r>
      <w:proofErr w:type="spellStart"/>
      <w:r>
        <w:rPr>
          <w:rFonts w:ascii="TimesNewRomanPSMT" w:hAnsi="TimesNewRomanPSMT"/>
        </w:rPr>
        <w:t>Disponível</w:t>
      </w:r>
      <w:proofErr w:type="spellEnd"/>
      <w:r>
        <w:rPr>
          <w:rFonts w:ascii="TimesNewRomanPSMT" w:hAnsi="TimesNewRomanPSMT"/>
        </w:rPr>
        <w:t xml:space="preserve"> em: https://www1.cfc.org.br/sisweb/SRE/docs/NBCTA500(R1).pdf. Acesso em: 05 ago. 2022. </w:t>
      </w:r>
    </w:p>
    <w:p w14:paraId="39F40D26" w14:textId="77777777" w:rsidR="00CC4707" w:rsidRDefault="00CC4707" w:rsidP="00C5273C">
      <w:pPr>
        <w:rPr>
          <w:rFonts w:ascii="TimesNewRomanPSMT" w:hAnsi="TimesNewRomanPSMT"/>
        </w:rPr>
      </w:pPr>
    </w:p>
    <w:p w14:paraId="3A7C0EFF" w14:textId="0D315E1C" w:rsidR="004C0F51" w:rsidRDefault="004C0F51" w:rsidP="00C5273C">
      <w:pPr>
        <w:rPr>
          <w:rFonts w:ascii="TimesNewRomanPSMT" w:hAnsi="TimesNewRomanPSMT"/>
          <w:lang w:val="en-US"/>
        </w:rPr>
      </w:pPr>
      <w:r>
        <w:rPr>
          <w:rFonts w:ascii="TimesNewRomanPSMT" w:hAnsi="TimesNewRomanPSMT"/>
        </w:rPr>
        <w:t xml:space="preserve">DE BATTISTA </w:t>
      </w:r>
      <w:r>
        <w:rPr>
          <w:rFonts w:ascii="TimesNewRomanPS" w:hAnsi="TimesNewRomanPS"/>
          <w:i/>
          <w:iCs/>
        </w:rPr>
        <w:t xml:space="preserve">et al. </w:t>
      </w:r>
      <w:proofErr w:type="spellStart"/>
      <w:r>
        <w:rPr>
          <w:rFonts w:ascii="TimesNewRomanPSMT" w:hAnsi="TimesNewRomanPSMT"/>
        </w:rPr>
        <w:t>Minería</w:t>
      </w:r>
      <w:proofErr w:type="spellEnd"/>
      <w:r>
        <w:rPr>
          <w:rFonts w:ascii="TimesNewRomanPSMT" w:hAnsi="TimesNewRomanPSMT"/>
        </w:rPr>
        <w:t xml:space="preserve"> de </w:t>
      </w:r>
      <w:proofErr w:type="spellStart"/>
      <w:r>
        <w:rPr>
          <w:rFonts w:ascii="TimesNewRomanPSMT" w:hAnsi="TimesNewRomanPSMT"/>
        </w:rPr>
        <w:t>Datos</w:t>
      </w:r>
      <w:proofErr w:type="spellEnd"/>
      <w:r>
        <w:rPr>
          <w:rFonts w:ascii="TimesNewRomanPSMT" w:hAnsi="TimesNewRomanPSMT"/>
        </w:rPr>
        <w:t xml:space="preserve"> aplicada a </w:t>
      </w:r>
      <w:proofErr w:type="spellStart"/>
      <w:r>
        <w:rPr>
          <w:rFonts w:ascii="TimesNewRomanPSMT" w:hAnsi="TimesNewRomanPSMT"/>
        </w:rPr>
        <w:t>datos</w:t>
      </w:r>
      <w:proofErr w:type="spellEnd"/>
      <w:r>
        <w:rPr>
          <w:rFonts w:ascii="TimesNewRomanPSMT" w:hAnsi="TimesNewRomanPSMT"/>
        </w:rPr>
        <w:t xml:space="preserve"> </w:t>
      </w:r>
      <w:proofErr w:type="spellStart"/>
      <w:r>
        <w:rPr>
          <w:rFonts w:ascii="TimesNewRomanPSMT" w:hAnsi="TimesNewRomanPSMT"/>
        </w:rPr>
        <w:t>masivos</w:t>
      </w:r>
      <w:proofErr w:type="spellEnd"/>
      <w:r>
        <w:rPr>
          <w:rFonts w:ascii="TimesNewRomanPSMT" w:hAnsi="TimesNewRomanPSMT"/>
        </w:rPr>
        <w:t xml:space="preserve">. </w:t>
      </w:r>
      <w:r>
        <w:rPr>
          <w:rFonts w:ascii="TimesNewRomanPS" w:hAnsi="TimesNewRomanPS"/>
          <w:i/>
          <w:iCs/>
        </w:rPr>
        <w:t>In</w:t>
      </w:r>
      <w:r>
        <w:rPr>
          <w:rFonts w:ascii="TimesNewRomanPSMT" w:hAnsi="TimesNewRomanPSMT"/>
        </w:rPr>
        <w:t xml:space="preserve">: WORKSHOP DE INVESTIGADORES EN CIENCIAS DE LACOMPUTACIÓN, 18., 2016, Entre </w:t>
      </w:r>
      <w:proofErr w:type="spellStart"/>
      <w:r>
        <w:rPr>
          <w:rFonts w:ascii="TimesNewRomanPSMT" w:hAnsi="TimesNewRomanPSMT"/>
        </w:rPr>
        <w:t>Ríos</w:t>
      </w:r>
      <w:proofErr w:type="spellEnd"/>
      <w:r>
        <w:rPr>
          <w:rFonts w:ascii="TimesNewRomanPSMT" w:hAnsi="TimesNewRomanPSMT"/>
        </w:rPr>
        <w:t xml:space="preserve">. </w:t>
      </w:r>
      <w:r>
        <w:rPr>
          <w:rFonts w:ascii="TimesNewRomanPS" w:hAnsi="TimesNewRomanPS"/>
          <w:b/>
          <w:bCs/>
        </w:rPr>
        <w:t xml:space="preserve">Libro de </w:t>
      </w:r>
      <w:proofErr w:type="spellStart"/>
      <w:r>
        <w:rPr>
          <w:rFonts w:ascii="TimesNewRomanPS" w:hAnsi="TimesNewRomanPS"/>
          <w:b/>
          <w:bCs/>
        </w:rPr>
        <w:t>actas</w:t>
      </w:r>
      <w:proofErr w:type="spellEnd"/>
      <w:r>
        <w:rPr>
          <w:rFonts w:ascii="TimesNewRomanPS" w:hAnsi="TimesNewRomanPS"/>
          <w:b/>
          <w:bCs/>
        </w:rPr>
        <w:t xml:space="preserve"> </w:t>
      </w:r>
      <w:r>
        <w:rPr>
          <w:rFonts w:ascii="TimesNewRomanPSMT" w:hAnsi="TimesNewRomanPSMT"/>
        </w:rPr>
        <w:t xml:space="preserve">[...]. Entre </w:t>
      </w:r>
      <w:proofErr w:type="spellStart"/>
      <w:r>
        <w:rPr>
          <w:rFonts w:ascii="TimesNewRomanPSMT" w:hAnsi="TimesNewRomanPSMT"/>
        </w:rPr>
        <w:t>Ríos</w:t>
      </w:r>
      <w:proofErr w:type="spellEnd"/>
      <w:r>
        <w:rPr>
          <w:rFonts w:ascii="TimesNewRomanPSMT" w:hAnsi="TimesNewRomanPSMT"/>
        </w:rPr>
        <w:t xml:space="preserve">: UNER, 2016. p. 288-292. </w:t>
      </w:r>
      <w:proofErr w:type="spellStart"/>
      <w:r>
        <w:rPr>
          <w:rFonts w:ascii="TimesNewRomanPSMT" w:hAnsi="TimesNewRomanPSMT"/>
        </w:rPr>
        <w:t>Disponível</w:t>
      </w:r>
      <w:proofErr w:type="spellEnd"/>
      <w:r>
        <w:rPr>
          <w:rFonts w:ascii="TimesNewRomanPSMT" w:hAnsi="TimesNewRomanPSMT"/>
        </w:rPr>
        <w:t xml:space="preserve"> em: http://sedici.unlp.edu.ar/handle/10915/52901. </w:t>
      </w:r>
      <w:proofErr w:type="spellStart"/>
      <w:r>
        <w:rPr>
          <w:rFonts w:ascii="TimesNewRomanPSMT" w:hAnsi="TimesNewRomanPSMT"/>
          <w:lang w:val="en-US"/>
        </w:rPr>
        <w:t>Acesso</w:t>
      </w:r>
      <w:proofErr w:type="spellEnd"/>
      <w:r>
        <w:rPr>
          <w:rFonts w:ascii="TimesNewRomanPSMT" w:hAnsi="TimesNewRomanPSMT"/>
          <w:lang w:val="en-US"/>
        </w:rPr>
        <w:t xml:space="preserve"> </w:t>
      </w:r>
      <w:proofErr w:type="spellStart"/>
      <w:r>
        <w:rPr>
          <w:rFonts w:ascii="TimesNewRomanPSMT" w:hAnsi="TimesNewRomanPSMT"/>
          <w:lang w:val="en-US"/>
        </w:rPr>
        <w:t>em</w:t>
      </w:r>
      <w:proofErr w:type="spellEnd"/>
      <w:r>
        <w:rPr>
          <w:rFonts w:ascii="TimesNewRomanPSMT" w:hAnsi="TimesNewRomanPSMT"/>
          <w:lang w:val="en-US"/>
        </w:rPr>
        <w:t xml:space="preserve">: 29 set. 2022. </w:t>
      </w:r>
    </w:p>
    <w:p w14:paraId="690938E6" w14:textId="77777777" w:rsidR="00C5273C" w:rsidRDefault="00C5273C" w:rsidP="00C5273C">
      <w:pPr>
        <w:rPr>
          <w:rFonts w:ascii="TimesNewRomanPSMT" w:hAnsi="TimesNewRomanPSMT"/>
          <w:lang w:val="en-US"/>
        </w:rPr>
      </w:pPr>
    </w:p>
    <w:p w14:paraId="44582F8B" w14:textId="25B34275" w:rsidR="004C0F51" w:rsidRDefault="004C0F51" w:rsidP="00C5273C">
      <w:pPr>
        <w:rPr>
          <w:rFonts w:ascii="TimesNewRomanPSMT" w:hAnsi="TimesNewRomanPSMT"/>
          <w:lang w:val="en-US"/>
        </w:rPr>
      </w:pPr>
      <w:r>
        <w:rPr>
          <w:rFonts w:ascii="TimesNewRomanPSMT" w:hAnsi="TimesNewRomanPSMT"/>
          <w:lang w:val="en-US"/>
        </w:rPr>
        <w:t>DOMINGOS, Pedro. A few useful things to know about machine learning. </w:t>
      </w:r>
      <w:r>
        <w:rPr>
          <w:rFonts w:ascii="Times" w:hAnsi="Times" w:cs="Arial"/>
          <w:b/>
          <w:bCs/>
          <w:color w:val="222222"/>
          <w:lang w:val="en-US"/>
        </w:rPr>
        <w:t>Communications of the ACM</w:t>
      </w:r>
      <w:r>
        <w:rPr>
          <w:rFonts w:ascii="Times" w:hAnsi="Times" w:cs="Arial"/>
          <w:color w:val="222222"/>
          <w:shd w:val="clear" w:color="auto" w:fill="FFFFFF"/>
          <w:lang w:val="en-US"/>
        </w:rPr>
        <w:t>,</w:t>
      </w:r>
      <w:r>
        <w:rPr>
          <w:rFonts w:ascii="Arial" w:hAnsi="Arial" w:cs="Arial"/>
          <w:color w:val="222222"/>
          <w:sz w:val="20"/>
          <w:szCs w:val="20"/>
          <w:shd w:val="clear" w:color="auto" w:fill="FFFFFF"/>
          <w:lang w:val="en-US"/>
        </w:rPr>
        <w:t xml:space="preserve"> </w:t>
      </w:r>
      <w:r>
        <w:rPr>
          <w:rFonts w:ascii="TimesNewRomanPSMT" w:hAnsi="TimesNewRomanPSMT"/>
          <w:lang w:val="en-US"/>
        </w:rPr>
        <w:t>v. 55, n. 10, p. 78-87, 2012.</w:t>
      </w:r>
    </w:p>
    <w:p w14:paraId="14E95FB0" w14:textId="77777777" w:rsidR="00C5273C" w:rsidRDefault="00C5273C" w:rsidP="00C5273C">
      <w:pPr>
        <w:rPr>
          <w:rFonts w:ascii="TimesNewRomanPSMT" w:hAnsi="TimesNewRomanPSMT"/>
          <w:lang w:val="en-US"/>
        </w:rPr>
      </w:pPr>
    </w:p>
    <w:p w14:paraId="0624B859" w14:textId="21D8CAD0" w:rsidR="004C0F51" w:rsidRDefault="004C0F51" w:rsidP="00C5273C">
      <w:pPr>
        <w:rPr>
          <w:rFonts w:ascii="TimesNewRomanPSMT" w:hAnsi="TimesNewRomanPSMT"/>
        </w:rPr>
      </w:pPr>
      <w:r>
        <w:rPr>
          <w:rFonts w:ascii="TimesNewRomanPSMT" w:hAnsi="TimesNewRomanPSMT"/>
          <w:lang w:val="en-US"/>
        </w:rPr>
        <w:t xml:space="preserve">FAYYAD, Usama; PIATETSKY-SAPHIRO, Gregory; SMYTH, Padhraic. From Data Mining to Knowledge Discovery in Databases. </w:t>
      </w:r>
      <w:r>
        <w:rPr>
          <w:rFonts w:ascii="TimesNewRomanPS" w:hAnsi="TimesNewRomanPS"/>
          <w:b/>
          <w:bCs/>
        </w:rPr>
        <w:t>AI Magazine</w:t>
      </w:r>
      <w:r>
        <w:rPr>
          <w:rFonts w:ascii="TimesNewRomanPSMT" w:hAnsi="TimesNewRomanPSMT"/>
        </w:rPr>
        <w:t xml:space="preserve">, </w:t>
      </w:r>
      <w:r>
        <w:rPr>
          <w:rFonts w:ascii="TimesNewRomanPS" w:hAnsi="TimesNewRomanPS"/>
          <w:i/>
          <w:iCs/>
        </w:rPr>
        <w:t>[</w:t>
      </w:r>
      <w:proofErr w:type="spellStart"/>
      <w:r>
        <w:rPr>
          <w:rFonts w:ascii="TimesNewRomanPS" w:hAnsi="TimesNewRomanPS"/>
          <w:i/>
          <w:iCs/>
        </w:rPr>
        <w:t>s.l</w:t>
      </w:r>
      <w:proofErr w:type="spellEnd"/>
      <w:r>
        <w:rPr>
          <w:rFonts w:ascii="TimesNewRomanPS" w:hAnsi="TimesNewRomanPS"/>
          <w:i/>
          <w:iCs/>
        </w:rPr>
        <w:t>.]</w:t>
      </w:r>
      <w:r>
        <w:rPr>
          <w:rFonts w:ascii="TimesNewRomanPSMT" w:hAnsi="TimesNewRomanPSMT"/>
        </w:rPr>
        <w:t xml:space="preserve">, vol. 17, n. 3, p. 37-54, 1996. </w:t>
      </w:r>
      <w:proofErr w:type="spellStart"/>
      <w:r>
        <w:rPr>
          <w:rFonts w:ascii="TimesNewRomanPSMT" w:hAnsi="TimesNewRomanPSMT"/>
        </w:rPr>
        <w:t>Disponível</w:t>
      </w:r>
      <w:proofErr w:type="spellEnd"/>
      <w:r>
        <w:rPr>
          <w:rFonts w:ascii="TimesNewRomanPSMT" w:hAnsi="TimesNewRomanPSMT"/>
        </w:rPr>
        <w:t xml:space="preserve"> em: https://doi.org/10.1609/aimag.v17i3.1230. Acesso em: 12 ago. 2022. </w:t>
      </w:r>
    </w:p>
    <w:p w14:paraId="5CF22D01" w14:textId="77777777" w:rsidR="00C5273C" w:rsidRDefault="00C5273C" w:rsidP="00C5273C">
      <w:pPr>
        <w:rPr>
          <w:rFonts w:ascii="TimesNewRomanPSMT" w:hAnsi="TimesNewRomanPSMT"/>
        </w:rPr>
      </w:pPr>
    </w:p>
    <w:p w14:paraId="49C0E16F" w14:textId="58089969" w:rsidR="004C0F51" w:rsidRDefault="004C0F51" w:rsidP="00C5273C">
      <w:pPr>
        <w:rPr>
          <w:rFonts w:ascii="TimesNewRomanPSMT" w:hAnsi="TimesNewRomanPSMT"/>
          <w:lang w:val="en-US"/>
        </w:rPr>
      </w:pPr>
      <w:r>
        <w:rPr>
          <w:rFonts w:ascii="TimesNewRomanPSMT" w:hAnsi="TimesNewRomanPSMT"/>
        </w:rPr>
        <w:t>GOLDSCHMIDT, Ronaldo; PASSOS, Emmanuel; BEZERRA, Eduardo. </w:t>
      </w:r>
      <w:r>
        <w:rPr>
          <w:b/>
          <w:bCs/>
          <w:color w:val="222222"/>
        </w:rPr>
        <w:t>Data Mining</w:t>
      </w:r>
      <w:r>
        <w:rPr>
          <w:rFonts w:ascii="Arial" w:hAnsi="Arial" w:cs="Arial"/>
          <w:color w:val="222222"/>
          <w:sz w:val="20"/>
          <w:szCs w:val="20"/>
          <w:shd w:val="clear" w:color="auto" w:fill="FFFFFF"/>
        </w:rPr>
        <w:t xml:space="preserve">. </w:t>
      </w:r>
      <w:r>
        <w:rPr>
          <w:rFonts w:ascii="TimesNewRomanPSMT" w:hAnsi="TimesNewRomanPSMT"/>
          <w:lang w:val="en-US"/>
        </w:rPr>
        <w:t xml:space="preserve">Elsevier </w:t>
      </w:r>
      <w:proofErr w:type="spellStart"/>
      <w:r>
        <w:rPr>
          <w:rFonts w:ascii="TimesNewRomanPSMT" w:hAnsi="TimesNewRomanPSMT"/>
          <w:lang w:val="en-US"/>
        </w:rPr>
        <w:t>Brasil</w:t>
      </w:r>
      <w:proofErr w:type="spellEnd"/>
      <w:r>
        <w:rPr>
          <w:rFonts w:ascii="TimesNewRomanPSMT" w:hAnsi="TimesNewRomanPSMT"/>
          <w:lang w:val="en-US"/>
        </w:rPr>
        <w:t>, 2015.</w:t>
      </w:r>
    </w:p>
    <w:p w14:paraId="392583C8" w14:textId="77777777" w:rsidR="00C5273C" w:rsidRDefault="00C5273C" w:rsidP="00C5273C">
      <w:pPr>
        <w:pStyle w:val="NormalWeb"/>
        <w:spacing w:beforeAutospacing="0" w:afterAutospacing="0"/>
        <w:rPr>
          <w:rFonts w:ascii="TimesNewRomanPSMT" w:hAnsi="TimesNewRomanPSMT"/>
          <w:lang w:val="en-US"/>
        </w:rPr>
      </w:pPr>
    </w:p>
    <w:p w14:paraId="07953485" w14:textId="51B573BA" w:rsidR="004C0F51" w:rsidRDefault="004C0F51" w:rsidP="00C5273C">
      <w:pPr>
        <w:pStyle w:val="NormalWeb"/>
        <w:spacing w:beforeAutospacing="0" w:afterAutospacing="0"/>
        <w:rPr>
          <w:rFonts w:ascii="TimesNewRomanPSMT" w:hAnsi="TimesNewRomanPSMT"/>
          <w:lang w:val="en-US"/>
        </w:rPr>
      </w:pPr>
      <w:r>
        <w:rPr>
          <w:rFonts w:ascii="TimesNewRomanPSMT" w:hAnsi="TimesNewRomanPSMT"/>
          <w:lang w:val="en-US"/>
        </w:rPr>
        <w:t xml:space="preserve">HAN, Jiawei; KAMBER, Micheline; PEI, Jian. </w:t>
      </w:r>
      <w:r>
        <w:rPr>
          <w:rFonts w:ascii="TimesNewRomanPS" w:hAnsi="TimesNewRomanPS"/>
          <w:b/>
          <w:bCs/>
          <w:lang w:val="en-US"/>
        </w:rPr>
        <w:t xml:space="preserve">Data Mining: </w:t>
      </w:r>
      <w:r>
        <w:rPr>
          <w:rFonts w:ascii="TimesNewRomanPSMT" w:hAnsi="TimesNewRomanPSMT"/>
          <w:lang w:val="en-US"/>
        </w:rPr>
        <w:t xml:space="preserve">concepts and techniques. 3a ed. Waltham: Morgan Kaufmann, 2012. </w:t>
      </w:r>
    </w:p>
    <w:p w14:paraId="21CB8166" w14:textId="77777777" w:rsidR="00C5273C" w:rsidRDefault="00C5273C" w:rsidP="00C5273C">
      <w:pPr>
        <w:rPr>
          <w:rFonts w:ascii="TimesNewRomanPSMT" w:hAnsi="TimesNewRomanPSMT"/>
          <w:lang w:val="en-US"/>
        </w:rPr>
      </w:pPr>
    </w:p>
    <w:p w14:paraId="020C99F4" w14:textId="6F3D67FF" w:rsidR="004C0F51" w:rsidRDefault="004C0F51" w:rsidP="00C5273C">
      <w:pPr>
        <w:rPr>
          <w:rFonts w:ascii="TimesNewRomanPSMT" w:hAnsi="TimesNewRomanPSMT"/>
          <w:lang w:val="en-US"/>
        </w:rPr>
      </w:pPr>
      <w:r w:rsidRPr="00493365">
        <w:rPr>
          <w:rFonts w:ascii="TimesNewRomanPSMT" w:hAnsi="TimesNewRomanPSMT"/>
          <w:lang w:val="en-US"/>
        </w:rPr>
        <w:t>JAIN, Anil K.; DUBES, Richard C. </w:t>
      </w:r>
      <w:r w:rsidRPr="00493365">
        <w:rPr>
          <w:rFonts w:ascii="TimesNewRomanPSMT" w:hAnsi="TimesNewRomanPSMT"/>
          <w:b/>
          <w:bCs/>
          <w:lang w:val="en-US"/>
        </w:rPr>
        <w:t>Algorithms for clustering data</w:t>
      </w:r>
      <w:r w:rsidRPr="00493365">
        <w:rPr>
          <w:rFonts w:ascii="TimesNewRomanPSMT" w:hAnsi="TimesNewRomanPSMT"/>
          <w:lang w:val="en-US"/>
        </w:rPr>
        <w:t>. Prentice-Hall, Inc., 1988.</w:t>
      </w:r>
    </w:p>
    <w:p w14:paraId="387ACBA1" w14:textId="77777777" w:rsidR="004C0F51" w:rsidRDefault="004C0F51" w:rsidP="00C5273C">
      <w:pPr>
        <w:rPr>
          <w:rFonts w:ascii="TimesNewRomanPSMT" w:hAnsi="TimesNewRomanPSMT"/>
          <w:lang w:val="en-US"/>
        </w:rPr>
      </w:pPr>
    </w:p>
    <w:p w14:paraId="59E2BCDA" w14:textId="77777777" w:rsidR="004C0F51" w:rsidRDefault="004C0F51" w:rsidP="00C5273C">
      <w:pPr>
        <w:rPr>
          <w:rFonts w:ascii="TimesNewRomanPSMT" w:hAnsi="TimesNewRomanPSMT"/>
          <w:lang w:val="en-US"/>
        </w:rPr>
      </w:pPr>
      <w:r>
        <w:rPr>
          <w:rFonts w:ascii="TimesNewRomanPSMT" w:hAnsi="TimesNewRomanPSMT"/>
          <w:lang w:val="en-US"/>
        </w:rPr>
        <w:t>JAIN, Anil K.; MURTY, M. Narasimha; FLYNN, Patrick J. Data clustering: a review.</w:t>
      </w:r>
      <w:r>
        <w:rPr>
          <w:rFonts w:ascii="Arial" w:hAnsi="Arial" w:cs="Arial"/>
          <w:color w:val="222222"/>
          <w:sz w:val="20"/>
          <w:szCs w:val="20"/>
          <w:shd w:val="clear" w:color="auto" w:fill="FFFFFF"/>
          <w:lang w:val="en-US"/>
        </w:rPr>
        <w:t> </w:t>
      </w:r>
      <w:r>
        <w:rPr>
          <w:rFonts w:ascii="TimesNewRomanPSMT" w:hAnsi="TimesNewRomanPSMT"/>
          <w:b/>
          <w:bCs/>
          <w:lang w:val="en-US"/>
        </w:rPr>
        <w:t>ACM computing surveys (CSUR)</w:t>
      </w:r>
      <w:r>
        <w:rPr>
          <w:rFonts w:ascii="TimesNewRomanPSMT" w:hAnsi="TimesNewRomanPSMT"/>
          <w:lang w:val="en-US"/>
        </w:rPr>
        <w:t>, v. 31, n. 3, p. 264-323, 1999.</w:t>
      </w:r>
    </w:p>
    <w:p w14:paraId="6A73CE1C" w14:textId="77777777" w:rsidR="004C0F51" w:rsidRDefault="004C0F51" w:rsidP="00C5273C">
      <w:pPr>
        <w:rPr>
          <w:rFonts w:ascii="TimesNewRomanPSMT" w:hAnsi="TimesNewRomanPSMT"/>
          <w:lang w:val="en-US"/>
        </w:rPr>
      </w:pPr>
    </w:p>
    <w:p w14:paraId="77B6FCFB" w14:textId="77777777" w:rsidR="004C0F51" w:rsidRDefault="004C0F51" w:rsidP="00C5273C">
      <w:pPr>
        <w:rPr>
          <w:rFonts w:ascii="TimesNewRomanPSMT" w:hAnsi="TimesNewRomanPSMT"/>
          <w:lang w:val="en-US"/>
        </w:rPr>
      </w:pPr>
      <w:r>
        <w:rPr>
          <w:rFonts w:ascii="TimesNewRomanPSMT" w:hAnsi="TimesNewRomanPSMT"/>
          <w:lang w:val="en-US"/>
        </w:rPr>
        <w:t>JOLLIFFE, Ian T.; CADIMA, Jorge. Principal component analysis: a review and recent developments. </w:t>
      </w:r>
      <w:r>
        <w:rPr>
          <w:rFonts w:ascii="Times" w:hAnsi="Times" w:cs="Arial"/>
          <w:b/>
          <w:bCs/>
          <w:color w:val="222222"/>
          <w:lang w:val="en-US"/>
        </w:rPr>
        <w:t>Philosophical Transactions of the Royal Society A: Mathematical, Physical and Engineering Sciences</w:t>
      </w:r>
      <w:r>
        <w:rPr>
          <w:rFonts w:ascii="TimesNewRomanPSMT" w:hAnsi="TimesNewRomanPSMT"/>
          <w:lang w:val="en-US"/>
        </w:rPr>
        <w:t>, v. 374, n. 2065, p. 20150202, 2016.</w:t>
      </w:r>
    </w:p>
    <w:p w14:paraId="42143034" w14:textId="77777777" w:rsidR="004C0F51" w:rsidRDefault="004C0F51" w:rsidP="00C5273C">
      <w:pPr>
        <w:rPr>
          <w:rFonts w:ascii="TimesNewRomanPSMT" w:hAnsi="TimesNewRomanPSMT"/>
          <w:lang w:val="en-US"/>
        </w:rPr>
      </w:pPr>
    </w:p>
    <w:p w14:paraId="1B8A2105" w14:textId="77777777" w:rsidR="004C0F51" w:rsidRDefault="004C0F51" w:rsidP="00C5273C">
      <w:r>
        <w:rPr>
          <w:lang w:val="en-US"/>
        </w:rPr>
        <w:t>KODINARIYA, Trupti M.; MAKWANA, Prashant R. Review on determining number of Cluster in K-Means Clustering. </w:t>
      </w:r>
      <w:proofErr w:type="spellStart"/>
      <w:r>
        <w:rPr>
          <w:b/>
          <w:bCs/>
        </w:rPr>
        <w:t>International</w:t>
      </w:r>
      <w:proofErr w:type="spellEnd"/>
      <w:r>
        <w:rPr>
          <w:b/>
          <w:bCs/>
        </w:rPr>
        <w:t xml:space="preserve"> </w:t>
      </w:r>
      <w:proofErr w:type="spellStart"/>
      <w:r>
        <w:rPr>
          <w:b/>
          <w:bCs/>
        </w:rPr>
        <w:t>Journal</w:t>
      </w:r>
      <w:proofErr w:type="spellEnd"/>
      <w:r>
        <w:rPr>
          <w:b/>
          <w:bCs/>
        </w:rPr>
        <w:t>,</w:t>
      </w:r>
      <w:r>
        <w:t xml:space="preserve"> v. 1, n. 6, p. 90-95, 2013.</w:t>
      </w:r>
    </w:p>
    <w:p w14:paraId="1D218666" w14:textId="77777777" w:rsidR="004C0F51" w:rsidRDefault="004C0F51" w:rsidP="00C5273C"/>
    <w:p w14:paraId="2A2DB8C5" w14:textId="77777777" w:rsidR="004C0F51" w:rsidRDefault="004C0F51" w:rsidP="00C5273C">
      <w:pPr>
        <w:rPr>
          <w:lang w:val="en-US"/>
        </w:rPr>
      </w:pPr>
      <w:r>
        <w:t xml:space="preserve">MOLINA-CORONADO, Borja et al. </w:t>
      </w:r>
      <w:r>
        <w:rPr>
          <w:lang w:val="en-US"/>
        </w:rPr>
        <w:t>Survey of network intrusion detection methods from the perspective of the knowledge discovery in databases process.</w:t>
      </w:r>
      <w:r>
        <w:rPr>
          <w:rStyle w:val="apple-converted-space"/>
          <w:rFonts w:ascii="Arial" w:hAnsi="Arial" w:cs="Arial"/>
          <w:color w:val="222222"/>
          <w:sz w:val="20"/>
          <w:szCs w:val="20"/>
          <w:shd w:val="clear" w:color="auto" w:fill="FFFFFF"/>
          <w:lang w:val="en-US"/>
        </w:rPr>
        <w:t> </w:t>
      </w:r>
      <w:r>
        <w:rPr>
          <w:rFonts w:ascii="Times" w:hAnsi="Times" w:cs="Arial"/>
          <w:b/>
          <w:bCs/>
          <w:color w:val="222222"/>
          <w:lang w:val="en-US"/>
        </w:rPr>
        <w:t>IEEE Transactions on Network and Service Management</w:t>
      </w:r>
      <w:r>
        <w:rPr>
          <w:rFonts w:ascii="Times" w:hAnsi="Times" w:cs="Arial"/>
          <w:color w:val="222222"/>
          <w:shd w:val="clear" w:color="auto" w:fill="FFFFFF"/>
          <w:lang w:val="en-US"/>
        </w:rPr>
        <w:t>,</w:t>
      </w:r>
      <w:r>
        <w:rPr>
          <w:rFonts w:ascii="Arial" w:hAnsi="Arial" w:cs="Arial"/>
          <w:color w:val="222222"/>
          <w:sz w:val="20"/>
          <w:szCs w:val="20"/>
          <w:shd w:val="clear" w:color="auto" w:fill="FFFFFF"/>
          <w:lang w:val="en-US"/>
        </w:rPr>
        <w:t xml:space="preserve"> </w:t>
      </w:r>
      <w:r>
        <w:rPr>
          <w:lang w:val="en-US"/>
        </w:rPr>
        <w:t>v. 17, n. 4, p. 2451-2479, 2020.</w:t>
      </w:r>
    </w:p>
    <w:p w14:paraId="37161C82" w14:textId="77777777" w:rsidR="004C0F51" w:rsidRDefault="004C0F51" w:rsidP="00C5273C">
      <w:pPr>
        <w:rPr>
          <w:lang w:val="en-US"/>
        </w:rPr>
      </w:pPr>
    </w:p>
    <w:p w14:paraId="665070E1" w14:textId="2D7D3A7F" w:rsidR="004C0F51" w:rsidRPr="00E445AC" w:rsidRDefault="004C0F51" w:rsidP="00C5273C">
      <w:r>
        <w:rPr>
          <w:lang w:val="en-US"/>
        </w:rPr>
        <w:t xml:space="preserve">MOYA, Ricardo. </w:t>
      </w:r>
      <w:r w:rsidRPr="00A768B7">
        <w:rPr>
          <w:b/>
          <w:bCs/>
          <w:lang w:val="en-US"/>
        </w:rPr>
        <w:t>Machine Learning (</w:t>
      </w:r>
      <w:proofErr w:type="spellStart"/>
      <w:r w:rsidRPr="00A768B7">
        <w:rPr>
          <w:b/>
          <w:bCs/>
          <w:lang w:val="en-US"/>
        </w:rPr>
        <w:t>en</w:t>
      </w:r>
      <w:proofErr w:type="spellEnd"/>
      <w:r w:rsidRPr="00A768B7">
        <w:rPr>
          <w:b/>
          <w:bCs/>
          <w:lang w:val="en-US"/>
        </w:rPr>
        <w:t xml:space="preserve"> Python), con </w:t>
      </w:r>
      <w:proofErr w:type="spellStart"/>
      <w:r w:rsidRPr="00A768B7">
        <w:rPr>
          <w:b/>
          <w:bCs/>
          <w:lang w:val="en-US"/>
        </w:rPr>
        <w:t>ejemplos</w:t>
      </w:r>
      <w:proofErr w:type="spellEnd"/>
      <w:r w:rsidRPr="00A768B7">
        <w:rPr>
          <w:b/>
          <w:bCs/>
          <w:lang w:val="en-US"/>
        </w:rPr>
        <w:t xml:space="preserve">. </w:t>
      </w:r>
      <w:r w:rsidRPr="00A768B7">
        <w:rPr>
          <w:b/>
          <w:bCs/>
        </w:rPr>
        <w:t>(</w:t>
      </w:r>
      <w:proofErr w:type="spellStart"/>
      <w:r w:rsidRPr="00A768B7">
        <w:rPr>
          <w:b/>
          <w:bCs/>
        </w:rPr>
        <w:t>Versión</w:t>
      </w:r>
      <w:proofErr w:type="spellEnd"/>
      <w:r w:rsidRPr="00A768B7">
        <w:rPr>
          <w:b/>
          <w:bCs/>
        </w:rPr>
        <w:t xml:space="preserve"> provisional)</w:t>
      </w:r>
      <w:r>
        <w:t>. 01-Feb-2016. Disponível em</w:t>
      </w:r>
      <w:r w:rsidRPr="004C0F51">
        <w:t xml:space="preserve">: </w:t>
      </w:r>
      <w:hyperlink r:id="rId20">
        <w:r w:rsidRPr="006A6918">
          <w:rPr>
            <w:rStyle w:val="Hyperlink1"/>
            <w:color w:val="auto"/>
            <w:u w:val="none"/>
          </w:rPr>
          <w:t>https://jarroba.com/seleccion-del-numero-optimo-clusters/</w:t>
        </w:r>
      </w:hyperlink>
      <w:r w:rsidRPr="006A6918">
        <w:t>.</w:t>
      </w:r>
      <w:r w:rsidRPr="004C0F51">
        <w:t xml:space="preserve"> Acesso em: </w:t>
      </w:r>
      <w:r w:rsidR="00A768B7">
        <w:t>10</w:t>
      </w:r>
      <w:r w:rsidRPr="00E445AC">
        <w:t xml:space="preserve"> out 2022.</w:t>
      </w:r>
    </w:p>
    <w:p w14:paraId="370756C8" w14:textId="77777777" w:rsidR="004C0F51" w:rsidRPr="00E445AC" w:rsidRDefault="004C0F51" w:rsidP="00C5273C"/>
    <w:p w14:paraId="2F9917D7" w14:textId="77777777" w:rsidR="004C0F51" w:rsidRPr="00FC5532" w:rsidRDefault="004C0F51" w:rsidP="00C5273C">
      <w:pPr>
        <w:rPr>
          <w:lang w:val="en-US"/>
        </w:rPr>
      </w:pPr>
      <w:r>
        <w:t xml:space="preserve">MOTTA-ROTH, </w:t>
      </w:r>
      <w:proofErr w:type="spellStart"/>
      <w:r>
        <w:t>Désirée</w:t>
      </w:r>
      <w:proofErr w:type="spellEnd"/>
      <w:r>
        <w:t xml:space="preserve">; HENDGES, Graciela </w:t>
      </w:r>
      <w:proofErr w:type="spellStart"/>
      <w:r>
        <w:t>Rabuske</w:t>
      </w:r>
      <w:proofErr w:type="spellEnd"/>
      <w:r>
        <w:t xml:space="preserve">. </w:t>
      </w:r>
      <w:r>
        <w:rPr>
          <w:b/>
          <w:bCs/>
        </w:rPr>
        <w:t>Produção textual na universidade</w:t>
      </w:r>
      <w:r>
        <w:t xml:space="preserve">. </w:t>
      </w:r>
      <w:r w:rsidRPr="00FC5532">
        <w:rPr>
          <w:lang w:val="en-US"/>
        </w:rPr>
        <w:t xml:space="preserve">São Paulo: </w:t>
      </w:r>
      <w:proofErr w:type="spellStart"/>
      <w:r w:rsidRPr="00FC5532">
        <w:rPr>
          <w:lang w:val="en-US"/>
        </w:rPr>
        <w:t>Parábola</w:t>
      </w:r>
      <w:proofErr w:type="spellEnd"/>
      <w:r w:rsidRPr="00FC5532">
        <w:rPr>
          <w:lang w:val="en-US"/>
        </w:rPr>
        <w:t>, 2010.</w:t>
      </w:r>
    </w:p>
    <w:p w14:paraId="28F179F4" w14:textId="68800BAD" w:rsidR="004C0F51" w:rsidRDefault="004C0F51" w:rsidP="00C5273C">
      <w:pPr>
        <w:widowControl w:val="0"/>
        <w:rPr>
          <w:lang w:val="en-US"/>
        </w:rPr>
      </w:pPr>
      <w:bookmarkStart w:id="1" w:name="ZOTERO_TEMP_BOOKMARK"/>
      <w:r>
        <w:rPr>
          <w:lang w:val="en-US"/>
        </w:rPr>
        <w:t xml:space="preserve"> </w:t>
      </w:r>
      <w:bookmarkEnd w:id="1"/>
    </w:p>
    <w:p w14:paraId="52E0518B" w14:textId="77777777" w:rsidR="004C0F51" w:rsidRDefault="004C0F51" w:rsidP="00C5273C">
      <w:pPr>
        <w:rPr>
          <w:lang w:val="en-US"/>
        </w:rPr>
      </w:pPr>
      <w:r>
        <w:rPr>
          <w:lang w:val="en-US"/>
        </w:rPr>
        <w:t>NG, Andrew. Clustering with the k-means algorithm. </w:t>
      </w:r>
      <w:r>
        <w:rPr>
          <w:b/>
          <w:bCs/>
          <w:lang w:val="en-US"/>
        </w:rPr>
        <w:t>Machine Learning</w:t>
      </w:r>
      <w:r>
        <w:rPr>
          <w:lang w:val="en-US"/>
        </w:rPr>
        <w:t>, p. 1-2, 2012.</w:t>
      </w:r>
    </w:p>
    <w:p w14:paraId="02A51B6A" w14:textId="77777777" w:rsidR="004C0F51" w:rsidRDefault="004C0F51" w:rsidP="00C5273C">
      <w:pPr>
        <w:rPr>
          <w:rFonts w:ascii="TimesNewRomanPSMT" w:hAnsi="TimesNewRomanPSMT"/>
          <w:lang w:val="en-US"/>
        </w:rPr>
      </w:pPr>
      <w:r>
        <w:rPr>
          <w:rFonts w:ascii="Times New Roman,Bold" w:hAnsi="Times New Roman,Bold"/>
          <w:lang w:val="en-US"/>
        </w:rPr>
        <w:t>PIATESKI, Gregory; FRAWLEY, William. </w:t>
      </w:r>
      <w:r>
        <w:rPr>
          <w:rFonts w:ascii="Times" w:hAnsi="Times" w:cs="Arial"/>
          <w:b/>
          <w:bCs/>
          <w:color w:val="222222"/>
          <w:lang w:val="en-US"/>
        </w:rPr>
        <w:t>Knowledge discovery in databases</w:t>
      </w:r>
      <w:r>
        <w:rPr>
          <w:rFonts w:ascii="Arial" w:hAnsi="Arial" w:cs="Arial"/>
          <w:color w:val="222222"/>
          <w:sz w:val="20"/>
          <w:szCs w:val="20"/>
          <w:shd w:val="clear" w:color="auto" w:fill="FFFFFF"/>
          <w:lang w:val="en-US"/>
        </w:rPr>
        <w:t xml:space="preserve">. </w:t>
      </w:r>
      <w:r>
        <w:rPr>
          <w:rFonts w:ascii="TimesNewRomanPSMT" w:hAnsi="TimesNewRomanPSMT"/>
          <w:lang w:val="en-US"/>
        </w:rPr>
        <w:t>MIT press,</w:t>
      </w:r>
      <w:r>
        <w:rPr>
          <w:rFonts w:ascii="Arial" w:hAnsi="Arial" w:cs="Arial"/>
          <w:color w:val="222222"/>
          <w:sz w:val="20"/>
          <w:szCs w:val="20"/>
          <w:shd w:val="clear" w:color="auto" w:fill="FFFFFF"/>
          <w:lang w:val="en-US"/>
        </w:rPr>
        <w:t xml:space="preserve"> </w:t>
      </w:r>
      <w:r>
        <w:rPr>
          <w:rFonts w:ascii="TimesNewRomanPSMT" w:hAnsi="TimesNewRomanPSMT"/>
          <w:lang w:val="en-US"/>
        </w:rPr>
        <w:t>1991.</w:t>
      </w:r>
    </w:p>
    <w:p w14:paraId="131963CA" w14:textId="77777777" w:rsidR="004C0F51" w:rsidRDefault="004C0F51" w:rsidP="00C5273C">
      <w:pPr>
        <w:rPr>
          <w:rFonts w:ascii="TimesNewRomanPSMT" w:hAnsi="TimesNewRomanPSMT"/>
          <w:lang w:val="en-US"/>
        </w:rPr>
      </w:pPr>
    </w:p>
    <w:p w14:paraId="5A90D33E" w14:textId="45DEBDC2" w:rsidR="006026AD" w:rsidRDefault="004C0F51" w:rsidP="00C5273C">
      <w:pPr>
        <w:rPr>
          <w:rFonts w:ascii="Arial" w:hAnsi="Arial" w:cs="Arial"/>
          <w:color w:val="222222"/>
          <w:sz w:val="20"/>
          <w:szCs w:val="20"/>
          <w:shd w:val="clear" w:color="auto" w:fill="FFFFFF"/>
        </w:rPr>
      </w:pPr>
      <w:r w:rsidRPr="00E445AC">
        <w:t>PRODANOV, Cleber Cristiano; DE FREITAS, Ernani Cesar. </w:t>
      </w:r>
      <w:r w:rsidRPr="00E445AC">
        <w:rPr>
          <w:b/>
          <w:bCs/>
        </w:rPr>
        <w:t>Metodologia do trabalho científico: métodos e técnicas da pesquisa e do trabalho acadêmico-2ª Edição</w:t>
      </w:r>
      <w:r w:rsidRPr="00E445AC">
        <w:t xml:space="preserve">. Editora </w:t>
      </w:r>
      <w:proofErr w:type="spellStart"/>
      <w:r w:rsidRPr="00E445AC">
        <w:t>Feevale</w:t>
      </w:r>
      <w:proofErr w:type="spellEnd"/>
      <w:r w:rsidRPr="00E445AC">
        <w:t>, 2013</w:t>
      </w:r>
      <w:r>
        <w:rPr>
          <w:rFonts w:ascii="Arial" w:hAnsi="Arial" w:cs="Arial"/>
          <w:color w:val="222222"/>
          <w:sz w:val="20"/>
          <w:szCs w:val="20"/>
          <w:shd w:val="clear" w:color="auto" w:fill="FFFFFF"/>
        </w:rPr>
        <w:t>.</w:t>
      </w:r>
    </w:p>
    <w:p w14:paraId="0F658607" w14:textId="77777777" w:rsidR="00CC4707" w:rsidRDefault="00CC4707" w:rsidP="00C5273C">
      <w:pPr>
        <w:rPr>
          <w:color w:val="000000"/>
        </w:rPr>
      </w:pPr>
    </w:p>
    <w:p w14:paraId="32396698" w14:textId="62A92E63" w:rsidR="006026AD" w:rsidRPr="006026AD" w:rsidRDefault="006026AD" w:rsidP="00C5273C">
      <w:pPr>
        <w:rPr>
          <w:color w:val="000000"/>
        </w:rPr>
      </w:pPr>
      <w:r w:rsidRPr="006026AD">
        <w:rPr>
          <w:color w:val="000000"/>
        </w:rPr>
        <w:t>RIBEIRO, J. M.; DIAS FILHO, J. M. Aplicação de métodos quantitativos em auditoria: propostas para otimizar procedimentos e reduzir riscos.</w:t>
      </w:r>
      <w:r w:rsidRPr="006026AD">
        <w:rPr>
          <w:b/>
          <w:bCs/>
          <w:color w:val="000000"/>
        </w:rPr>
        <w:t xml:space="preserve"> Revista de Contabilidade e Organizações</w:t>
      </w:r>
      <w:r w:rsidRPr="006026AD">
        <w:rPr>
          <w:color w:val="000000"/>
        </w:rPr>
        <w:t>, v. 1, n. 1, p. 43-59, 2007.</w:t>
      </w:r>
    </w:p>
    <w:p w14:paraId="1624701A" w14:textId="77777777" w:rsidR="002D753C" w:rsidRDefault="002D753C" w:rsidP="00C5273C"/>
    <w:p w14:paraId="1E98EF4E" w14:textId="500620C8" w:rsidR="005A2528" w:rsidRDefault="005A2528" w:rsidP="00C5273C">
      <w:r w:rsidRPr="00ED06D1">
        <w:t xml:space="preserve">THE INSTITUTE OF INTERNAL AUDITORS. </w:t>
      </w:r>
      <w:r w:rsidRPr="005A2528">
        <w:rPr>
          <w:rFonts w:ascii="Times New Roman,Bold" w:hAnsi="Times New Roman,Bold"/>
          <w:b/>
          <w:bCs/>
          <w:lang w:val="en-US"/>
        </w:rPr>
        <w:t>Definition of Internal Auditing</w:t>
      </w:r>
      <w:r w:rsidRPr="005A2528">
        <w:rPr>
          <w:rFonts w:ascii="Times New Roman,Bold" w:hAnsi="Times New Roman,Bold"/>
          <w:lang w:val="en-US"/>
        </w:rPr>
        <w:t xml:space="preserve">. </w:t>
      </w:r>
      <w:r w:rsidRPr="005A2528">
        <w:rPr>
          <w:lang w:val="en-US"/>
        </w:rPr>
        <w:t>[</w:t>
      </w:r>
      <w:r w:rsidRPr="005A2528">
        <w:rPr>
          <w:rFonts w:ascii="Times New Roman,Italic" w:hAnsi="Times New Roman,Italic"/>
          <w:lang w:val="en-US"/>
        </w:rPr>
        <w:t>S. l.</w:t>
      </w:r>
      <w:r w:rsidRPr="005A2528">
        <w:rPr>
          <w:lang w:val="en-US"/>
        </w:rPr>
        <w:t xml:space="preserve">], 2019. </w:t>
      </w:r>
      <w:proofErr w:type="spellStart"/>
      <w:r w:rsidRPr="005A2528">
        <w:t>Disponível</w:t>
      </w:r>
      <w:proofErr w:type="spellEnd"/>
      <w:r w:rsidRPr="005A2528">
        <w:t xml:space="preserve"> em: https://global.theiia.org/standards-guidance/mandatory- </w:t>
      </w:r>
      <w:proofErr w:type="spellStart"/>
      <w:r w:rsidRPr="005A2528">
        <w:t>guidance</w:t>
      </w:r>
      <w:proofErr w:type="spellEnd"/>
      <w:r w:rsidRPr="005A2528">
        <w:t>/</w:t>
      </w:r>
      <w:proofErr w:type="spellStart"/>
      <w:r w:rsidRPr="005A2528">
        <w:t>Pages</w:t>
      </w:r>
      <w:proofErr w:type="spellEnd"/>
      <w:r w:rsidRPr="005A2528">
        <w:t xml:space="preserve">/Definition-of-Internal-Auditing.aspx. Acesso em: </w:t>
      </w:r>
      <w:r>
        <w:t xml:space="preserve">23 </w:t>
      </w:r>
      <w:r w:rsidRPr="005A2528">
        <w:t>jul. 20</w:t>
      </w:r>
      <w:r>
        <w:t>22</w:t>
      </w:r>
      <w:r w:rsidRPr="005A2528">
        <w:t xml:space="preserve">. </w:t>
      </w:r>
    </w:p>
    <w:p w14:paraId="3A647117" w14:textId="77777777" w:rsidR="00484D6A" w:rsidRPr="00ED06D1" w:rsidRDefault="00484D6A" w:rsidP="00C5273C"/>
    <w:p w14:paraId="3FBC2BE3" w14:textId="4BA60040" w:rsidR="00A804C6" w:rsidRPr="00A75705" w:rsidRDefault="00A804C6" w:rsidP="00C5273C">
      <w:pPr>
        <w:rPr>
          <w:lang w:val="en-US"/>
        </w:rPr>
      </w:pPr>
      <w:r w:rsidRPr="00A75705">
        <w:rPr>
          <w:lang w:val="en-US"/>
        </w:rPr>
        <w:t>VICHI, Maurizio; SAPORTA, Gilbert. Clustering and disjoint principal component analysis. </w:t>
      </w:r>
      <w:r w:rsidRPr="00A75705">
        <w:rPr>
          <w:b/>
          <w:bCs/>
          <w:lang w:val="en-US"/>
        </w:rPr>
        <w:t>Computational Statistics &amp; Data Analysis</w:t>
      </w:r>
      <w:r w:rsidRPr="00A75705">
        <w:rPr>
          <w:lang w:val="en-US"/>
        </w:rPr>
        <w:t>, v. 53, n. 8, p. 3194-3208, 2009.</w:t>
      </w:r>
    </w:p>
    <w:p w14:paraId="295852EF" w14:textId="77777777" w:rsidR="00484D6A" w:rsidRDefault="00484D6A" w:rsidP="009F715D">
      <w:pPr>
        <w:rPr>
          <w:lang w:val="en-US"/>
        </w:rPr>
      </w:pPr>
    </w:p>
    <w:p w14:paraId="77481941" w14:textId="3A535107" w:rsidR="004C0F51" w:rsidRPr="002D753C" w:rsidRDefault="004C0F51" w:rsidP="009F715D">
      <w:pPr>
        <w:rPr>
          <w:lang w:val="en-US"/>
        </w:rPr>
      </w:pPr>
      <w:r>
        <w:rPr>
          <w:lang w:val="en-US"/>
        </w:rPr>
        <w:lastRenderedPageBreak/>
        <w:t>XU, Rui; WUNSCH, Donald. Survey of clustering algorithms. </w:t>
      </w:r>
      <w:r>
        <w:rPr>
          <w:b/>
          <w:bCs/>
          <w:lang w:val="en-US"/>
        </w:rPr>
        <w:t>IEEE Transactions on neural networks</w:t>
      </w:r>
      <w:r>
        <w:rPr>
          <w:lang w:val="en-US"/>
        </w:rPr>
        <w:t>, v. 16, n. 3, p. 645-678, 2005.</w:t>
      </w:r>
    </w:p>
    <w:sectPr w:rsidR="004C0F51" w:rsidRPr="002D753C" w:rsidSect="002F3AC9">
      <w:headerReference w:type="default" r:id="rId21"/>
      <w:footerReference w:type="even" r:id="rId22"/>
      <w:footerReference w:type="default" r:id="rId2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82BF" w14:textId="77777777" w:rsidR="00004461" w:rsidRDefault="00004461" w:rsidP="00863C6F">
      <w:r>
        <w:separator/>
      </w:r>
    </w:p>
  </w:endnote>
  <w:endnote w:type="continuationSeparator" w:id="0">
    <w:p w14:paraId="329BB753" w14:textId="77777777" w:rsidR="00004461" w:rsidRDefault="00004461" w:rsidP="00863C6F">
      <w:r>
        <w:continuationSeparator/>
      </w:r>
    </w:p>
  </w:endnote>
  <w:endnote w:type="continuationNotice" w:id="1">
    <w:p w14:paraId="6B602671" w14:textId="77777777" w:rsidR="00004461" w:rsidRDefault="00004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23109210"/>
      <w:docPartObj>
        <w:docPartGallery w:val="Page Numbers (Bottom of Page)"/>
        <w:docPartUnique/>
      </w:docPartObj>
    </w:sdtPr>
    <w:sdtEndPr>
      <w:rPr>
        <w:rStyle w:val="Nmerodepgina"/>
      </w:rPr>
    </w:sdtEndPr>
    <w:sdtContent>
      <w:p w14:paraId="6C505999" w14:textId="0D8A894A" w:rsidR="00A43BCE" w:rsidRDefault="00A43BCE" w:rsidP="002D17E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354997" w14:textId="77777777" w:rsidR="00863C6F" w:rsidRDefault="00863C6F" w:rsidP="00A43BC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20"/>
        <w:szCs w:val="20"/>
      </w:rPr>
      <w:id w:val="-1168329856"/>
      <w:docPartObj>
        <w:docPartGallery w:val="Page Numbers (Bottom of Page)"/>
        <w:docPartUnique/>
      </w:docPartObj>
    </w:sdtPr>
    <w:sdtEndPr>
      <w:rPr>
        <w:rStyle w:val="Nmerodepgina"/>
      </w:rPr>
    </w:sdtEndPr>
    <w:sdtContent>
      <w:p w14:paraId="428073D4" w14:textId="3C565C3B" w:rsidR="00A43BCE" w:rsidRPr="00A43BCE" w:rsidRDefault="00A43BCE" w:rsidP="002D17E2">
        <w:pPr>
          <w:pStyle w:val="Rodap"/>
          <w:framePr w:wrap="none" w:vAnchor="text" w:hAnchor="margin" w:xAlign="right" w:y="1"/>
          <w:rPr>
            <w:rStyle w:val="Nmerodepgina"/>
            <w:sz w:val="20"/>
            <w:szCs w:val="20"/>
          </w:rPr>
        </w:pPr>
        <w:r w:rsidRPr="00A43BCE">
          <w:rPr>
            <w:rStyle w:val="Nmerodepgina"/>
            <w:sz w:val="20"/>
            <w:szCs w:val="20"/>
          </w:rPr>
          <w:fldChar w:fldCharType="begin"/>
        </w:r>
        <w:r w:rsidRPr="00A43BCE">
          <w:rPr>
            <w:rStyle w:val="Nmerodepgina"/>
            <w:sz w:val="20"/>
            <w:szCs w:val="20"/>
          </w:rPr>
          <w:instrText xml:space="preserve"> PAGE </w:instrText>
        </w:r>
        <w:r w:rsidRPr="00A43BCE">
          <w:rPr>
            <w:rStyle w:val="Nmerodepgina"/>
            <w:sz w:val="20"/>
            <w:szCs w:val="20"/>
          </w:rPr>
          <w:fldChar w:fldCharType="separate"/>
        </w:r>
        <w:r w:rsidRPr="00A43BCE">
          <w:rPr>
            <w:rStyle w:val="Nmerodepgina"/>
            <w:noProof/>
            <w:sz w:val="20"/>
            <w:szCs w:val="20"/>
          </w:rPr>
          <w:t>14</w:t>
        </w:r>
        <w:r w:rsidRPr="00A43BCE">
          <w:rPr>
            <w:rStyle w:val="Nmerodepgina"/>
            <w:sz w:val="20"/>
            <w:szCs w:val="20"/>
          </w:rPr>
          <w:fldChar w:fldCharType="end"/>
        </w:r>
      </w:p>
    </w:sdtContent>
  </w:sdt>
  <w:p w14:paraId="3A365723" w14:textId="77777777" w:rsidR="00863C6F" w:rsidRDefault="00863C6F" w:rsidP="00A43BC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F130" w14:textId="77777777" w:rsidR="00004461" w:rsidRDefault="00004461" w:rsidP="00863C6F">
      <w:r>
        <w:separator/>
      </w:r>
    </w:p>
  </w:footnote>
  <w:footnote w:type="continuationSeparator" w:id="0">
    <w:p w14:paraId="590F46FB" w14:textId="77777777" w:rsidR="00004461" w:rsidRDefault="00004461" w:rsidP="00863C6F">
      <w:r>
        <w:continuationSeparator/>
      </w:r>
    </w:p>
  </w:footnote>
  <w:footnote w:type="continuationNotice" w:id="1">
    <w:p w14:paraId="6A456B7E" w14:textId="77777777" w:rsidR="00004461" w:rsidRDefault="00004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146503"/>
      <w:docPartObj>
        <w:docPartGallery w:val="Page Numbers (Top of Page)"/>
        <w:docPartUnique/>
      </w:docPartObj>
    </w:sdtPr>
    <w:sdtEndPr/>
    <w:sdtContent>
      <w:p w14:paraId="4CA26060" w14:textId="3C741C12" w:rsidR="00863C6F" w:rsidRDefault="00004461" w:rsidP="00A43BCE">
        <w:pPr>
          <w:pStyle w:val="Cabealho"/>
        </w:pPr>
      </w:p>
    </w:sdtContent>
  </w:sdt>
  <w:p w14:paraId="0FC8ACF4" w14:textId="77777777" w:rsidR="00863C6F" w:rsidRDefault="00863C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5DA"/>
    <w:multiLevelType w:val="multilevel"/>
    <w:tmpl w:val="C33E9F94"/>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8E7209"/>
    <w:multiLevelType w:val="multilevel"/>
    <w:tmpl w:val="022E0D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6134193"/>
    <w:multiLevelType w:val="hybridMultilevel"/>
    <w:tmpl w:val="A6EAD6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516D60"/>
    <w:multiLevelType w:val="hybridMultilevel"/>
    <w:tmpl w:val="7B04C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30"/>
    <w:rsid w:val="00004461"/>
    <w:rsid w:val="00005560"/>
    <w:rsid w:val="00007CA0"/>
    <w:rsid w:val="00011E06"/>
    <w:rsid w:val="0001529F"/>
    <w:rsid w:val="0002148C"/>
    <w:rsid w:val="000219EF"/>
    <w:rsid w:val="00030AE7"/>
    <w:rsid w:val="000327C8"/>
    <w:rsid w:val="00042C50"/>
    <w:rsid w:val="000845C0"/>
    <w:rsid w:val="0008522E"/>
    <w:rsid w:val="00094F9F"/>
    <w:rsid w:val="000A7CDD"/>
    <w:rsid w:val="000B5F34"/>
    <w:rsid w:val="000B7CA0"/>
    <w:rsid w:val="000C2470"/>
    <w:rsid w:val="000C35A0"/>
    <w:rsid w:val="000C492E"/>
    <w:rsid w:val="000D09C2"/>
    <w:rsid w:val="000D22AE"/>
    <w:rsid w:val="000E3DFC"/>
    <w:rsid w:val="000E492D"/>
    <w:rsid w:val="000F3239"/>
    <w:rsid w:val="000F7379"/>
    <w:rsid w:val="0012343F"/>
    <w:rsid w:val="00124480"/>
    <w:rsid w:val="00124B4F"/>
    <w:rsid w:val="00124F6F"/>
    <w:rsid w:val="001252A9"/>
    <w:rsid w:val="00140B1E"/>
    <w:rsid w:val="001429AF"/>
    <w:rsid w:val="001462E1"/>
    <w:rsid w:val="001604C9"/>
    <w:rsid w:val="00177F6D"/>
    <w:rsid w:val="00194B0A"/>
    <w:rsid w:val="00195661"/>
    <w:rsid w:val="001B3C96"/>
    <w:rsid w:val="001B588F"/>
    <w:rsid w:val="001C5B68"/>
    <w:rsid w:val="001D2326"/>
    <w:rsid w:val="001D2C78"/>
    <w:rsid w:val="00200C50"/>
    <w:rsid w:val="00200F84"/>
    <w:rsid w:val="00214DEC"/>
    <w:rsid w:val="002204AB"/>
    <w:rsid w:val="0022613D"/>
    <w:rsid w:val="00226BD1"/>
    <w:rsid w:val="00233ACA"/>
    <w:rsid w:val="0024264D"/>
    <w:rsid w:val="00272F3B"/>
    <w:rsid w:val="00276D46"/>
    <w:rsid w:val="002A3029"/>
    <w:rsid w:val="002A5A84"/>
    <w:rsid w:val="002A7350"/>
    <w:rsid w:val="002B3285"/>
    <w:rsid w:val="002B5EE4"/>
    <w:rsid w:val="002C3A19"/>
    <w:rsid w:val="002C73F8"/>
    <w:rsid w:val="002D753C"/>
    <w:rsid w:val="002F3AC9"/>
    <w:rsid w:val="0030348A"/>
    <w:rsid w:val="00316DC3"/>
    <w:rsid w:val="00316F06"/>
    <w:rsid w:val="00321CE9"/>
    <w:rsid w:val="00327AC8"/>
    <w:rsid w:val="0034169D"/>
    <w:rsid w:val="00347B03"/>
    <w:rsid w:val="00350135"/>
    <w:rsid w:val="003546DF"/>
    <w:rsid w:val="00356631"/>
    <w:rsid w:val="00364D60"/>
    <w:rsid w:val="00366197"/>
    <w:rsid w:val="003906F8"/>
    <w:rsid w:val="003A01A3"/>
    <w:rsid w:val="003A115D"/>
    <w:rsid w:val="003B27AF"/>
    <w:rsid w:val="003C66D7"/>
    <w:rsid w:val="003C74E4"/>
    <w:rsid w:val="003E4B97"/>
    <w:rsid w:val="003E6883"/>
    <w:rsid w:val="003F3F83"/>
    <w:rsid w:val="003F4EBE"/>
    <w:rsid w:val="00413A5E"/>
    <w:rsid w:val="0043130C"/>
    <w:rsid w:val="004316FF"/>
    <w:rsid w:val="0043664E"/>
    <w:rsid w:val="004379DF"/>
    <w:rsid w:val="004467F9"/>
    <w:rsid w:val="00447A44"/>
    <w:rsid w:val="004662D0"/>
    <w:rsid w:val="0047310D"/>
    <w:rsid w:val="00477677"/>
    <w:rsid w:val="00484D6A"/>
    <w:rsid w:val="0048760D"/>
    <w:rsid w:val="004A0DD2"/>
    <w:rsid w:val="004A2322"/>
    <w:rsid w:val="004B1DBC"/>
    <w:rsid w:val="004B596D"/>
    <w:rsid w:val="004C0F51"/>
    <w:rsid w:val="004D4732"/>
    <w:rsid w:val="004F2049"/>
    <w:rsid w:val="004F2D3B"/>
    <w:rsid w:val="00503DF1"/>
    <w:rsid w:val="0051060F"/>
    <w:rsid w:val="00513668"/>
    <w:rsid w:val="00547259"/>
    <w:rsid w:val="00550181"/>
    <w:rsid w:val="00571135"/>
    <w:rsid w:val="00575BE2"/>
    <w:rsid w:val="00576DCD"/>
    <w:rsid w:val="0058484C"/>
    <w:rsid w:val="005864B2"/>
    <w:rsid w:val="005A2528"/>
    <w:rsid w:val="005A47F1"/>
    <w:rsid w:val="005A55E5"/>
    <w:rsid w:val="005C4787"/>
    <w:rsid w:val="005E3DD5"/>
    <w:rsid w:val="005F0825"/>
    <w:rsid w:val="005F6A1F"/>
    <w:rsid w:val="006026AD"/>
    <w:rsid w:val="00606F8C"/>
    <w:rsid w:val="0062228A"/>
    <w:rsid w:val="006251AD"/>
    <w:rsid w:val="00625BFD"/>
    <w:rsid w:val="00627C48"/>
    <w:rsid w:val="006337CF"/>
    <w:rsid w:val="00657202"/>
    <w:rsid w:val="00674622"/>
    <w:rsid w:val="00681A87"/>
    <w:rsid w:val="00682AEE"/>
    <w:rsid w:val="00686235"/>
    <w:rsid w:val="006900A5"/>
    <w:rsid w:val="006967BA"/>
    <w:rsid w:val="006A6918"/>
    <w:rsid w:val="006A7259"/>
    <w:rsid w:val="006B6981"/>
    <w:rsid w:val="006C3CB4"/>
    <w:rsid w:val="006D0B87"/>
    <w:rsid w:val="006D447C"/>
    <w:rsid w:val="006D5D90"/>
    <w:rsid w:val="006F283F"/>
    <w:rsid w:val="006F5F68"/>
    <w:rsid w:val="00705CA2"/>
    <w:rsid w:val="00716F4E"/>
    <w:rsid w:val="00724940"/>
    <w:rsid w:val="00724BFC"/>
    <w:rsid w:val="00731E13"/>
    <w:rsid w:val="007335EC"/>
    <w:rsid w:val="007409ED"/>
    <w:rsid w:val="00743D34"/>
    <w:rsid w:val="007458B5"/>
    <w:rsid w:val="007867DF"/>
    <w:rsid w:val="00793BBF"/>
    <w:rsid w:val="007A3CBE"/>
    <w:rsid w:val="007A51BF"/>
    <w:rsid w:val="007C6687"/>
    <w:rsid w:val="007E47E2"/>
    <w:rsid w:val="00810A62"/>
    <w:rsid w:val="00815343"/>
    <w:rsid w:val="00817301"/>
    <w:rsid w:val="00825C87"/>
    <w:rsid w:val="00830110"/>
    <w:rsid w:val="0084398D"/>
    <w:rsid w:val="008442F2"/>
    <w:rsid w:val="00862C2F"/>
    <w:rsid w:val="00863C6F"/>
    <w:rsid w:val="0086608D"/>
    <w:rsid w:val="008673E3"/>
    <w:rsid w:val="008704AD"/>
    <w:rsid w:val="00885CAB"/>
    <w:rsid w:val="00887079"/>
    <w:rsid w:val="008925D3"/>
    <w:rsid w:val="0089394A"/>
    <w:rsid w:val="00895F38"/>
    <w:rsid w:val="00897FDE"/>
    <w:rsid w:val="008B59C1"/>
    <w:rsid w:val="008C50AC"/>
    <w:rsid w:val="008D008E"/>
    <w:rsid w:val="008D37EE"/>
    <w:rsid w:val="008E1879"/>
    <w:rsid w:val="008E7C89"/>
    <w:rsid w:val="008F5295"/>
    <w:rsid w:val="00914785"/>
    <w:rsid w:val="00921830"/>
    <w:rsid w:val="00922287"/>
    <w:rsid w:val="00924B42"/>
    <w:rsid w:val="00930DA8"/>
    <w:rsid w:val="00941792"/>
    <w:rsid w:val="00955A4F"/>
    <w:rsid w:val="009643E9"/>
    <w:rsid w:val="00964718"/>
    <w:rsid w:val="00974FD8"/>
    <w:rsid w:val="0097796A"/>
    <w:rsid w:val="00980ECC"/>
    <w:rsid w:val="00995AA2"/>
    <w:rsid w:val="009962F5"/>
    <w:rsid w:val="00996F66"/>
    <w:rsid w:val="009A4624"/>
    <w:rsid w:val="009A4AC7"/>
    <w:rsid w:val="009B067F"/>
    <w:rsid w:val="009B3A70"/>
    <w:rsid w:val="009B3AC4"/>
    <w:rsid w:val="009C7955"/>
    <w:rsid w:val="009E7BE0"/>
    <w:rsid w:val="009F09B9"/>
    <w:rsid w:val="009F715D"/>
    <w:rsid w:val="00A02B47"/>
    <w:rsid w:val="00A15601"/>
    <w:rsid w:val="00A35014"/>
    <w:rsid w:val="00A43BCE"/>
    <w:rsid w:val="00A43F74"/>
    <w:rsid w:val="00A63C02"/>
    <w:rsid w:val="00A6540D"/>
    <w:rsid w:val="00A719B2"/>
    <w:rsid w:val="00A75705"/>
    <w:rsid w:val="00A768B7"/>
    <w:rsid w:val="00A804C6"/>
    <w:rsid w:val="00A8413F"/>
    <w:rsid w:val="00A84289"/>
    <w:rsid w:val="00AA1749"/>
    <w:rsid w:val="00AA6B02"/>
    <w:rsid w:val="00AA6D4A"/>
    <w:rsid w:val="00AB31C7"/>
    <w:rsid w:val="00AC2514"/>
    <w:rsid w:val="00AC74AB"/>
    <w:rsid w:val="00AD0631"/>
    <w:rsid w:val="00AD180B"/>
    <w:rsid w:val="00AD2346"/>
    <w:rsid w:val="00AD79D3"/>
    <w:rsid w:val="00AF7469"/>
    <w:rsid w:val="00B01E04"/>
    <w:rsid w:val="00B02F95"/>
    <w:rsid w:val="00B0487D"/>
    <w:rsid w:val="00B232D1"/>
    <w:rsid w:val="00B24A8D"/>
    <w:rsid w:val="00B4495C"/>
    <w:rsid w:val="00B543E0"/>
    <w:rsid w:val="00B54457"/>
    <w:rsid w:val="00B54AB6"/>
    <w:rsid w:val="00B57F98"/>
    <w:rsid w:val="00B6591A"/>
    <w:rsid w:val="00B762C4"/>
    <w:rsid w:val="00B92613"/>
    <w:rsid w:val="00B92DD5"/>
    <w:rsid w:val="00B97CED"/>
    <w:rsid w:val="00BA4E8E"/>
    <w:rsid w:val="00BB61F2"/>
    <w:rsid w:val="00BC5558"/>
    <w:rsid w:val="00BC71C9"/>
    <w:rsid w:val="00BD481E"/>
    <w:rsid w:val="00BE4591"/>
    <w:rsid w:val="00C02FF0"/>
    <w:rsid w:val="00C3649E"/>
    <w:rsid w:val="00C457C8"/>
    <w:rsid w:val="00C45B21"/>
    <w:rsid w:val="00C5273C"/>
    <w:rsid w:val="00C62771"/>
    <w:rsid w:val="00C651C0"/>
    <w:rsid w:val="00C70655"/>
    <w:rsid w:val="00C72EFE"/>
    <w:rsid w:val="00C800D6"/>
    <w:rsid w:val="00C818DF"/>
    <w:rsid w:val="00C86310"/>
    <w:rsid w:val="00C9518F"/>
    <w:rsid w:val="00CC4707"/>
    <w:rsid w:val="00CE37C9"/>
    <w:rsid w:val="00CF2298"/>
    <w:rsid w:val="00CF5B45"/>
    <w:rsid w:val="00CF6E0C"/>
    <w:rsid w:val="00D43E23"/>
    <w:rsid w:val="00D4576F"/>
    <w:rsid w:val="00D5729C"/>
    <w:rsid w:val="00D83087"/>
    <w:rsid w:val="00D91C1B"/>
    <w:rsid w:val="00D945F8"/>
    <w:rsid w:val="00DA4941"/>
    <w:rsid w:val="00DB29D1"/>
    <w:rsid w:val="00DB5C03"/>
    <w:rsid w:val="00DB6019"/>
    <w:rsid w:val="00DB7FA2"/>
    <w:rsid w:val="00DD62DA"/>
    <w:rsid w:val="00DD6318"/>
    <w:rsid w:val="00DE60CC"/>
    <w:rsid w:val="00DF2F46"/>
    <w:rsid w:val="00E053EB"/>
    <w:rsid w:val="00E06636"/>
    <w:rsid w:val="00E476F9"/>
    <w:rsid w:val="00E57AC4"/>
    <w:rsid w:val="00E720C7"/>
    <w:rsid w:val="00E828DE"/>
    <w:rsid w:val="00E87CCD"/>
    <w:rsid w:val="00E9502B"/>
    <w:rsid w:val="00EA3C36"/>
    <w:rsid w:val="00EA68AD"/>
    <w:rsid w:val="00EB5B76"/>
    <w:rsid w:val="00EB7390"/>
    <w:rsid w:val="00EC6FF4"/>
    <w:rsid w:val="00ED06D1"/>
    <w:rsid w:val="00ED25DB"/>
    <w:rsid w:val="00ED2CAF"/>
    <w:rsid w:val="00ED701C"/>
    <w:rsid w:val="00EE052B"/>
    <w:rsid w:val="00EF3898"/>
    <w:rsid w:val="00F03ABD"/>
    <w:rsid w:val="00F076C9"/>
    <w:rsid w:val="00F07F89"/>
    <w:rsid w:val="00F12208"/>
    <w:rsid w:val="00F123B1"/>
    <w:rsid w:val="00F23069"/>
    <w:rsid w:val="00F2327C"/>
    <w:rsid w:val="00F45D40"/>
    <w:rsid w:val="00F60196"/>
    <w:rsid w:val="00F6342C"/>
    <w:rsid w:val="00F670AF"/>
    <w:rsid w:val="00F91D54"/>
    <w:rsid w:val="00FB2425"/>
    <w:rsid w:val="00FB3E10"/>
    <w:rsid w:val="00FC3674"/>
    <w:rsid w:val="00FC4088"/>
    <w:rsid w:val="00FC44FA"/>
    <w:rsid w:val="00FC4681"/>
    <w:rsid w:val="00FC5532"/>
    <w:rsid w:val="00FD5030"/>
    <w:rsid w:val="00FE73F2"/>
    <w:rsid w:val="00FE7847"/>
    <w:rsid w:val="00FF2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AE7E"/>
  <w15:chartTrackingRefBased/>
  <w15:docId w15:val="{1A520DF4-2DEC-48DA-9F80-3719169C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C6"/>
    <w:pPr>
      <w:spacing w:after="0" w:line="240" w:lineRule="auto"/>
    </w:pPr>
    <w:rPr>
      <w:rFonts w:ascii="Times New Roman" w:eastAsia="Times New Roman" w:hAnsi="Times New Roman" w:cs="Times New Roman"/>
      <w:sz w:val="24"/>
      <w:szCs w:val="24"/>
      <w:lang w:eastAsia="pt-BR"/>
    </w:rPr>
  </w:style>
  <w:style w:type="paragraph" w:styleId="Ttulo1">
    <w:name w:val="heading 1"/>
    <w:next w:val="Normal"/>
    <w:link w:val="Ttulo1Char"/>
    <w:uiPriority w:val="9"/>
    <w:unhideWhenUsed/>
    <w:qFormat/>
    <w:rsid w:val="00FD5030"/>
    <w:pPr>
      <w:keepNext/>
      <w:keepLines/>
      <w:suppressAutoHyphens/>
      <w:spacing w:after="12" w:line="247" w:lineRule="auto"/>
      <w:ind w:left="10" w:hanging="10"/>
      <w:outlineLvl w:val="0"/>
    </w:pPr>
    <w:rPr>
      <w:rFonts w:ascii="Times New Roman" w:eastAsia="Times New Roman" w:hAnsi="Times New Roman" w:cs="Times New Roman"/>
      <w:b/>
      <w:color w:val="000000"/>
      <w:sz w:val="24"/>
      <w:lang w:val="en-US"/>
    </w:rPr>
  </w:style>
  <w:style w:type="paragraph" w:styleId="Ttulo2">
    <w:name w:val="heading 2"/>
    <w:basedOn w:val="Normal"/>
    <w:next w:val="Normal"/>
    <w:link w:val="Ttulo2Char"/>
    <w:uiPriority w:val="9"/>
    <w:semiHidden/>
    <w:unhideWhenUsed/>
    <w:qFormat/>
    <w:rsid w:val="00FD50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D5030"/>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FD5030"/>
    <w:rPr>
      <w:rFonts w:ascii="Times New Roman" w:eastAsia="Times New Roman" w:hAnsi="Times New Roman" w:cs="Times New Roman"/>
      <w:b/>
      <w:color w:val="000000"/>
      <w:sz w:val="24"/>
      <w:lang w:val="en-US"/>
    </w:rPr>
  </w:style>
  <w:style w:type="paragraph" w:styleId="NormalWeb">
    <w:name w:val="Normal (Web)"/>
    <w:basedOn w:val="Normal"/>
    <w:uiPriority w:val="99"/>
    <w:unhideWhenUsed/>
    <w:qFormat/>
    <w:rsid w:val="00FD5030"/>
    <w:pPr>
      <w:suppressAutoHyphens/>
      <w:spacing w:beforeAutospacing="1" w:afterAutospacing="1"/>
    </w:pPr>
  </w:style>
  <w:style w:type="character" w:customStyle="1" w:styleId="Ttulo2Char">
    <w:name w:val="Título 2 Char"/>
    <w:basedOn w:val="Fontepargpadro"/>
    <w:link w:val="Ttulo2"/>
    <w:uiPriority w:val="9"/>
    <w:semiHidden/>
    <w:rsid w:val="00FD5030"/>
    <w:rPr>
      <w:rFonts w:asciiTheme="majorHAnsi" w:eastAsiaTheme="majorEastAsia" w:hAnsiTheme="majorHAnsi" w:cstheme="majorBidi"/>
      <w:color w:val="2F5496" w:themeColor="accent1" w:themeShade="BF"/>
      <w:sz w:val="26"/>
      <w:szCs w:val="26"/>
      <w:lang w:eastAsia="pt-BR"/>
    </w:rPr>
  </w:style>
  <w:style w:type="character" w:styleId="Refdecomentrio">
    <w:name w:val="annotation reference"/>
    <w:basedOn w:val="Fontepargpadro"/>
    <w:uiPriority w:val="99"/>
    <w:semiHidden/>
    <w:unhideWhenUsed/>
    <w:qFormat/>
    <w:rsid w:val="00FD5030"/>
    <w:rPr>
      <w:sz w:val="16"/>
      <w:szCs w:val="16"/>
    </w:rPr>
  </w:style>
  <w:style w:type="character" w:customStyle="1" w:styleId="TextodecomentrioChar">
    <w:name w:val="Texto de comentário Char"/>
    <w:basedOn w:val="Fontepargpadro"/>
    <w:link w:val="Textodecomentrio"/>
    <w:uiPriority w:val="99"/>
    <w:qFormat/>
    <w:rsid w:val="00FD5030"/>
    <w:rPr>
      <w:rFonts w:ascii="Times New Roman" w:eastAsia="Times New Roman" w:hAnsi="Times New Roman" w:cs="Times New Roman"/>
      <w:color w:val="000000"/>
      <w:sz w:val="20"/>
      <w:szCs w:val="20"/>
    </w:rPr>
  </w:style>
  <w:style w:type="paragraph" w:styleId="Textodecomentrio">
    <w:name w:val="annotation text"/>
    <w:basedOn w:val="Normal"/>
    <w:link w:val="TextodecomentrioChar"/>
    <w:uiPriority w:val="99"/>
    <w:unhideWhenUsed/>
    <w:qFormat/>
    <w:rsid w:val="00FD5030"/>
    <w:pPr>
      <w:suppressAutoHyphens/>
    </w:pPr>
    <w:rPr>
      <w:color w:val="000000"/>
      <w:sz w:val="20"/>
      <w:szCs w:val="20"/>
      <w:lang w:eastAsia="en-US"/>
    </w:rPr>
  </w:style>
  <w:style w:type="character" w:customStyle="1" w:styleId="TextodecomentrioChar1">
    <w:name w:val="Texto de comentário Char1"/>
    <w:basedOn w:val="Fontepargpadro"/>
    <w:uiPriority w:val="99"/>
    <w:semiHidden/>
    <w:rsid w:val="00FD5030"/>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semiHidden/>
    <w:rsid w:val="00FD5030"/>
    <w:rPr>
      <w:rFonts w:asciiTheme="majorHAnsi" w:eastAsiaTheme="majorEastAsia" w:hAnsiTheme="majorHAnsi" w:cstheme="majorBidi"/>
      <w:color w:val="1F3763" w:themeColor="accent1" w:themeShade="7F"/>
      <w:sz w:val="24"/>
      <w:szCs w:val="24"/>
      <w:lang w:eastAsia="pt-BR"/>
    </w:rPr>
  </w:style>
  <w:style w:type="table" w:customStyle="1" w:styleId="TableGrid">
    <w:name w:val="TableGrid"/>
    <w:rsid w:val="00FD5030"/>
    <w:pPr>
      <w:suppressAutoHyphens/>
      <w:spacing w:after="0" w:line="240" w:lineRule="auto"/>
    </w:pPr>
    <w:rPr>
      <w:rFonts w:eastAsiaTheme="minorEastAsia"/>
      <w:lang w:val="en-US"/>
    </w:rPr>
    <w:tblPr>
      <w:tblCellMar>
        <w:top w:w="0" w:type="dxa"/>
        <w:left w:w="0" w:type="dxa"/>
        <w:bottom w:w="0" w:type="dxa"/>
        <w:right w:w="0" w:type="dxa"/>
      </w:tblCellMar>
    </w:tblPr>
  </w:style>
  <w:style w:type="paragraph" w:styleId="PargrafodaLista">
    <w:name w:val="List Paragraph"/>
    <w:basedOn w:val="Normal"/>
    <w:qFormat/>
    <w:rsid w:val="00FD5030"/>
    <w:pPr>
      <w:suppressAutoHyphens/>
      <w:ind w:left="720"/>
      <w:contextualSpacing/>
    </w:pPr>
  </w:style>
  <w:style w:type="character" w:customStyle="1" w:styleId="cf01">
    <w:name w:val="cf01"/>
    <w:basedOn w:val="Fontepargpadro"/>
    <w:qFormat/>
    <w:rsid w:val="004C0F51"/>
    <w:rPr>
      <w:rFonts w:ascii="Segoe UI" w:hAnsi="Segoe UI" w:cs="Segoe UI"/>
      <w:sz w:val="18"/>
      <w:szCs w:val="18"/>
    </w:rPr>
  </w:style>
  <w:style w:type="character" w:customStyle="1" w:styleId="Hyperlink1">
    <w:name w:val="Hyperlink1"/>
    <w:basedOn w:val="Fontepargpadro"/>
    <w:rsid w:val="004C0F51"/>
    <w:rPr>
      <w:color w:val="0000FF"/>
      <w:u w:val="single"/>
    </w:rPr>
  </w:style>
  <w:style w:type="character" w:customStyle="1" w:styleId="apple-converted-space">
    <w:name w:val="apple-converted-space"/>
    <w:basedOn w:val="Fontepargpadro"/>
    <w:qFormat/>
    <w:rsid w:val="004C0F51"/>
  </w:style>
  <w:style w:type="paragraph" w:styleId="Cabealho">
    <w:name w:val="header"/>
    <w:basedOn w:val="Normal"/>
    <w:link w:val="CabealhoChar"/>
    <w:uiPriority w:val="99"/>
    <w:unhideWhenUsed/>
    <w:rsid w:val="00863C6F"/>
    <w:pPr>
      <w:tabs>
        <w:tab w:val="center" w:pos="4252"/>
        <w:tab w:val="right" w:pos="8504"/>
      </w:tabs>
    </w:pPr>
  </w:style>
  <w:style w:type="character" w:customStyle="1" w:styleId="CabealhoChar">
    <w:name w:val="Cabeçalho Char"/>
    <w:basedOn w:val="Fontepargpadro"/>
    <w:link w:val="Cabealho"/>
    <w:uiPriority w:val="99"/>
    <w:rsid w:val="00863C6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63C6F"/>
    <w:pPr>
      <w:tabs>
        <w:tab w:val="center" w:pos="4252"/>
        <w:tab w:val="right" w:pos="8504"/>
      </w:tabs>
    </w:pPr>
  </w:style>
  <w:style w:type="character" w:customStyle="1" w:styleId="RodapChar">
    <w:name w:val="Rodapé Char"/>
    <w:basedOn w:val="Fontepargpadro"/>
    <w:link w:val="Rodap"/>
    <w:uiPriority w:val="99"/>
    <w:rsid w:val="00863C6F"/>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5A55E5"/>
    <w:pPr>
      <w:suppressAutoHyphens w:val="0"/>
    </w:pPr>
    <w:rPr>
      <w:b/>
      <w:bCs/>
      <w:color w:val="auto"/>
      <w:lang w:eastAsia="pt-BR"/>
    </w:rPr>
  </w:style>
  <w:style w:type="character" w:customStyle="1" w:styleId="AssuntodocomentrioChar">
    <w:name w:val="Assunto do comentário Char"/>
    <w:basedOn w:val="TextodecomentrioChar"/>
    <w:link w:val="Assuntodocomentrio"/>
    <w:uiPriority w:val="99"/>
    <w:semiHidden/>
    <w:rsid w:val="005A55E5"/>
    <w:rPr>
      <w:rFonts w:ascii="Times New Roman" w:eastAsia="Times New Roman" w:hAnsi="Times New Roman" w:cs="Times New Roman"/>
      <w:b/>
      <w:bCs/>
      <w:color w:val="000000"/>
      <w:sz w:val="20"/>
      <w:szCs w:val="20"/>
      <w:lang w:eastAsia="pt-BR"/>
    </w:rPr>
  </w:style>
  <w:style w:type="character" w:styleId="Hyperlink">
    <w:name w:val="Hyperlink"/>
    <w:basedOn w:val="Fontepargpadro"/>
    <w:uiPriority w:val="99"/>
    <w:unhideWhenUsed/>
    <w:rsid w:val="006A7259"/>
    <w:rPr>
      <w:color w:val="0563C1" w:themeColor="hyperlink"/>
      <w:u w:val="single"/>
    </w:rPr>
  </w:style>
  <w:style w:type="character" w:styleId="MenoPendente">
    <w:name w:val="Unresolved Mention"/>
    <w:basedOn w:val="Fontepargpadro"/>
    <w:uiPriority w:val="99"/>
    <w:semiHidden/>
    <w:unhideWhenUsed/>
    <w:rsid w:val="006A7259"/>
    <w:rPr>
      <w:color w:val="605E5C"/>
      <w:shd w:val="clear" w:color="auto" w:fill="E1DFDD"/>
    </w:rPr>
  </w:style>
  <w:style w:type="character" w:styleId="HiperlinkVisitado">
    <w:name w:val="FollowedHyperlink"/>
    <w:basedOn w:val="Fontepargpadro"/>
    <w:uiPriority w:val="99"/>
    <w:semiHidden/>
    <w:unhideWhenUsed/>
    <w:rsid w:val="006A7259"/>
    <w:rPr>
      <w:color w:val="954F72" w:themeColor="followedHyperlink"/>
      <w:u w:val="single"/>
    </w:rPr>
  </w:style>
  <w:style w:type="character" w:styleId="Nmerodepgina">
    <w:name w:val="page number"/>
    <w:basedOn w:val="Fontepargpadro"/>
    <w:uiPriority w:val="99"/>
    <w:semiHidden/>
    <w:unhideWhenUsed/>
    <w:rsid w:val="00A4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659">
      <w:bodyDiv w:val="1"/>
      <w:marLeft w:val="0"/>
      <w:marRight w:val="0"/>
      <w:marTop w:val="0"/>
      <w:marBottom w:val="0"/>
      <w:divBdr>
        <w:top w:val="none" w:sz="0" w:space="0" w:color="auto"/>
        <w:left w:val="none" w:sz="0" w:space="0" w:color="auto"/>
        <w:bottom w:val="none" w:sz="0" w:space="0" w:color="auto"/>
        <w:right w:val="none" w:sz="0" w:space="0" w:color="auto"/>
      </w:divBdr>
    </w:div>
    <w:div w:id="51276971">
      <w:bodyDiv w:val="1"/>
      <w:marLeft w:val="0"/>
      <w:marRight w:val="0"/>
      <w:marTop w:val="0"/>
      <w:marBottom w:val="0"/>
      <w:divBdr>
        <w:top w:val="none" w:sz="0" w:space="0" w:color="auto"/>
        <w:left w:val="none" w:sz="0" w:space="0" w:color="auto"/>
        <w:bottom w:val="none" w:sz="0" w:space="0" w:color="auto"/>
        <w:right w:val="none" w:sz="0" w:space="0" w:color="auto"/>
      </w:divBdr>
    </w:div>
    <w:div w:id="372850208">
      <w:bodyDiv w:val="1"/>
      <w:marLeft w:val="0"/>
      <w:marRight w:val="0"/>
      <w:marTop w:val="0"/>
      <w:marBottom w:val="0"/>
      <w:divBdr>
        <w:top w:val="none" w:sz="0" w:space="0" w:color="auto"/>
        <w:left w:val="none" w:sz="0" w:space="0" w:color="auto"/>
        <w:bottom w:val="none" w:sz="0" w:space="0" w:color="auto"/>
        <w:right w:val="none" w:sz="0" w:space="0" w:color="auto"/>
      </w:divBdr>
    </w:div>
    <w:div w:id="642465249">
      <w:bodyDiv w:val="1"/>
      <w:marLeft w:val="0"/>
      <w:marRight w:val="0"/>
      <w:marTop w:val="0"/>
      <w:marBottom w:val="0"/>
      <w:divBdr>
        <w:top w:val="none" w:sz="0" w:space="0" w:color="auto"/>
        <w:left w:val="none" w:sz="0" w:space="0" w:color="auto"/>
        <w:bottom w:val="none" w:sz="0" w:space="0" w:color="auto"/>
        <w:right w:val="none" w:sz="0" w:space="0" w:color="auto"/>
      </w:divBdr>
    </w:div>
    <w:div w:id="815532874">
      <w:bodyDiv w:val="1"/>
      <w:marLeft w:val="0"/>
      <w:marRight w:val="0"/>
      <w:marTop w:val="0"/>
      <w:marBottom w:val="0"/>
      <w:divBdr>
        <w:top w:val="none" w:sz="0" w:space="0" w:color="auto"/>
        <w:left w:val="none" w:sz="0" w:space="0" w:color="auto"/>
        <w:bottom w:val="none" w:sz="0" w:space="0" w:color="auto"/>
        <w:right w:val="none" w:sz="0" w:space="0" w:color="auto"/>
      </w:divBdr>
    </w:div>
    <w:div w:id="842477354">
      <w:bodyDiv w:val="1"/>
      <w:marLeft w:val="0"/>
      <w:marRight w:val="0"/>
      <w:marTop w:val="0"/>
      <w:marBottom w:val="0"/>
      <w:divBdr>
        <w:top w:val="none" w:sz="0" w:space="0" w:color="auto"/>
        <w:left w:val="none" w:sz="0" w:space="0" w:color="auto"/>
        <w:bottom w:val="none" w:sz="0" w:space="0" w:color="auto"/>
        <w:right w:val="none" w:sz="0" w:space="0" w:color="auto"/>
      </w:divBdr>
    </w:div>
    <w:div w:id="843058299">
      <w:bodyDiv w:val="1"/>
      <w:marLeft w:val="0"/>
      <w:marRight w:val="0"/>
      <w:marTop w:val="0"/>
      <w:marBottom w:val="0"/>
      <w:divBdr>
        <w:top w:val="none" w:sz="0" w:space="0" w:color="auto"/>
        <w:left w:val="none" w:sz="0" w:space="0" w:color="auto"/>
        <w:bottom w:val="none" w:sz="0" w:space="0" w:color="auto"/>
        <w:right w:val="none" w:sz="0" w:space="0" w:color="auto"/>
      </w:divBdr>
    </w:div>
    <w:div w:id="983394418">
      <w:bodyDiv w:val="1"/>
      <w:marLeft w:val="0"/>
      <w:marRight w:val="0"/>
      <w:marTop w:val="0"/>
      <w:marBottom w:val="0"/>
      <w:divBdr>
        <w:top w:val="none" w:sz="0" w:space="0" w:color="auto"/>
        <w:left w:val="none" w:sz="0" w:space="0" w:color="auto"/>
        <w:bottom w:val="none" w:sz="0" w:space="0" w:color="auto"/>
        <w:right w:val="none" w:sz="0" w:space="0" w:color="auto"/>
      </w:divBdr>
    </w:div>
    <w:div w:id="1148130277">
      <w:bodyDiv w:val="1"/>
      <w:marLeft w:val="0"/>
      <w:marRight w:val="0"/>
      <w:marTop w:val="0"/>
      <w:marBottom w:val="0"/>
      <w:divBdr>
        <w:top w:val="none" w:sz="0" w:space="0" w:color="auto"/>
        <w:left w:val="none" w:sz="0" w:space="0" w:color="auto"/>
        <w:bottom w:val="none" w:sz="0" w:space="0" w:color="auto"/>
        <w:right w:val="none" w:sz="0" w:space="0" w:color="auto"/>
      </w:divBdr>
    </w:div>
    <w:div w:id="1266036718">
      <w:bodyDiv w:val="1"/>
      <w:marLeft w:val="0"/>
      <w:marRight w:val="0"/>
      <w:marTop w:val="0"/>
      <w:marBottom w:val="0"/>
      <w:divBdr>
        <w:top w:val="none" w:sz="0" w:space="0" w:color="auto"/>
        <w:left w:val="none" w:sz="0" w:space="0" w:color="auto"/>
        <w:bottom w:val="none" w:sz="0" w:space="0" w:color="auto"/>
        <w:right w:val="none" w:sz="0" w:space="0" w:color="auto"/>
      </w:divBdr>
    </w:div>
    <w:div w:id="1283877544">
      <w:bodyDiv w:val="1"/>
      <w:marLeft w:val="0"/>
      <w:marRight w:val="0"/>
      <w:marTop w:val="0"/>
      <w:marBottom w:val="0"/>
      <w:divBdr>
        <w:top w:val="none" w:sz="0" w:space="0" w:color="auto"/>
        <w:left w:val="none" w:sz="0" w:space="0" w:color="auto"/>
        <w:bottom w:val="none" w:sz="0" w:space="0" w:color="auto"/>
        <w:right w:val="none" w:sz="0" w:space="0" w:color="auto"/>
      </w:divBdr>
    </w:div>
    <w:div w:id="1336222028">
      <w:bodyDiv w:val="1"/>
      <w:marLeft w:val="0"/>
      <w:marRight w:val="0"/>
      <w:marTop w:val="0"/>
      <w:marBottom w:val="0"/>
      <w:divBdr>
        <w:top w:val="none" w:sz="0" w:space="0" w:color="auto"/>
        <w:left w:val="none" w:sz="0" w:space="0" w:color="auto"/>
        <w:bottom w:val="none" w:sz="0" w:space="0" w:color="auto"/>
        <w:right w:val="none" w:sz="0" w:space="0" w:color="auto"/>
      </w:divBdr>
    </w:div>
    <w:div w:id="1386565532">
      <w:bodyDiv w:val="1"/>
      <w:marLeft w:val="0"/>
      <w:marRight w:val="0"/>
      <w:marTop w:val="0"/>
      <w:marBottom w:val="0"/>
      <w:divBdr>
        <w:top w:val="none" w:sz="0" w:space="0" w:color="auto"/>
        <w:left w:val="none" w:sz="0" w:space="0" w:color="auto"/>
        <w:bottom w:val="none" w:sz="0" w:space="0" w:color="auto"/>
        <w:right w:val="none" w:sz="0" w:space="0" w:color="auto"/>
      </w:divBdr>
      <w:divsChild>
        <w:div w:id="2111074024">
          <w:marLeft w:val="0"/>
          <w:marRight w:val="0"/>
          <w:marTop w:val="0"/>
          <w:marBottom w:val="0"/>
          <w:divBdr>
            <w:top w:val="none" w:sz="0" w:space="0" w:color="auto"/>
            <w:left w:val="none" w:sz="0" w:space="0" w:color="auto"/>
            <w:bottom w:val="none" w:sz="0" w:space="0" w:color="auto"/>
            <w:right w:val="none" w:sz="0" w:space="0" w:color="auto"/>
          </w:divBdr>
          <w:divsChild>
            <w:div w:id="1394504949">
              <w:marLeft w:val="0"/>
              <w:marRight w:val="0"/>
              <w:marTop w:val="0"/>
              <w:marBottom w:val="0"/>
              <w:divBdr>
                <w:top w:val="none" w:sz="0" w:space="0" w:color="auto"/>
                <w:left w:val="none" w:sz="0" w:space="0" w:color="auto"/>
                <w:bottom w:val="none" w:sz="0" w:space="0" w:color="auto"/>
                <w:right w:val="none" w:sz="0" w:space="0" w:color="auto"/>
              </w:divBdr>
              <w:divsChild>
                <w:div w:id="8179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3448">
      <w:bodyDiv w:val="1"/>
      <w:marLeft w:val="0"/>
      <w:marRight w:val="0"/>
      <w:marTop w:val="0"/>
      <w:marBottom w:val="0"/>
      <w:divBdr>
        <w:top w:val="none" w:sz="0" w:space="0" w:color="auto"/>
        <w:left w:val="none" w:sz="0" w:space="0" w:color="auto"/>
        <w:bottom w:val="none" w:sz="0" w:space="0" w:color="auto"/>
        <w:right w:val="none" w:sz="0" w:space="0" w:color="auto"/>
      </w:divBdr>
    </w:div>
    <w:div w:id="1475558779">
      <w:bodyDiv w:val="1"/>
      <w:marLeft w:val="0"/>
      <w:marRight w:val="0"/>
      <w:marTop w:val="0"/>
      <w:marBottom w:val="0"/>
      <w:divBdr>
        <w:top w:val="none" w:sz="0" w:space="0" w:color="auto"/>
        <w:left w:val="none" w:sz="0" w:space="0" w:color="auto"/>
        <w:bottom w:val="none" w:sz="0" w:space="0" w:color="auto"/>
        <w:right w:val="none" w:sz="0" w:space="0" w:color="auto"/>
      </w:divBdr>
    </w:div>
    <w:div w:id="1478301263">
      <w:bodyDiv w:val="1"/>
      <w:marLeft w:val="0"/>
      <w:marRight w:val="0"/>
      <w:marTop w:val="0"/>
      <w:marBottom w:val="0"/>
      <w:divBdr>
        <w:top w:val="none" w:sz="0" w:space="0" w:color="auto"/>
        <w:left w:val="none" w:sz="0" w:space="0" w:color="auto"/>
        <w:bottom w:val="none" w:sz="0" w:space="0" w:color="auto"/>
        <w:right w:val="none" w:sz="0" w:space="0" w:color="auto"/>
      </w:divBdr>
    </w:div>
    <w:div w:id="1587956575">
      <w:bodyDiv w:val="1"/>
      <w:marLeft w:val="0"/>
      <w:marRight w:val="0"/>
      <w:marTop w:val="0"/>
      <w:marBottom w:val="0"/>
      <w:divBdr>
        <w:top w:val="none" w:sz="0" w:space="0" w:color="auto"/>
        <w:left w:val="none" w:sz="0" w:space="0" w:color="auto"/>
        <w:bottom w:val="none" w:sz="0" w:space="0" w:color="auto"/>
        <w:right w:val="none" w:sz="0" w:space="0" w:color="auto"/>
      </w:divBdr>
    </w:div>
    <w:div w:id="1687247222">
      <w:bodyDiv w:val="1"/>
      <w:marLeft w:val="0"/>
      <w:marRight w:val="0"/>
      <w:marTop w:val="0"/>
      <w:marBottom w:val="0"/>
      <w:divBdr>
        <w:top w:val="none" w:sz="0" w:space="0" w:color="auto"/>
        <w:left w:val="none" w:sz="0" w:space="0" w:color="auto"/>
        <w:bottom w:val="none" w:sz="0" w:space="0" w:color="auto"/>
        <w:right w:val="none" w:sz="0" w:space="0" w:color="auto"/>
      </w:divBdr>
    </w:div>
    <w:div w:id="1765371438">
      <w:bodyDiv w:val="1"/>
      <w:marLeft w:val="0"/>
      <w:marRight w:val="0"/>
      <w:marTop w:val="0"/>
      <w:marBottom w:val="0"/>
      <w:divBdr>
        <w:top w:val="none" w:sz="0" w:space="0" w:color="auto"/>
        <w:left w:val="none" w:sz="0" w:space="0" w:color="auto"/>
        <w:bottom w:val="none" w:sz="0" w:space="0" w:color="auto"/>
        <w:right w:val="none" w:sz="0" w:space="0" w:color="auto"/>
      </w:divBdr>
    </w:div>
    <w:div w:id="1899633887">
      <w:bodyDiv w:val="1"/>
      <w:marLeft w:val="0"/>
      <w:marRight w:val="0"/>
      <w:marTop w:val="0"/>
      <w:marBottom w:val="0"/>
      <w:divBdr>
        <w:top w:val="none" w:sz="0" w:space="0" w:color="auto"/>
        <w:left w:val="none" w:sz="0" w:space="0" w:color="auto"/>
        <w:bottom w:val="none" w:sz="0" w:space="0" w:color="auto"/>
        <w:right w:val="none" w:sz="0" w:space="0" w:color="auto"/>
      </w:divBdr>
    </w:div>
    <w:div w:id="1960866830">
      <w:bodyDiv w:val="1"/>
      <w:marLeft w:val="0"/>
      <w:marRight w:val="0"/>
      <w:marTop w:val="0"/>
      <w:marBottom w:val="0"/>
      <w:divBdr>
        <w:top w:val="none" w:sz="0" w:space="0" w:color="auto"/>
        <w:left w:val="none" w:sz="0" w:space="0" w:color="auto"/>
        <w:bottom w:val="none" w:sz="0" w:space="0" w:color="auto"/>
        <w:right w:val="none" w:sz="0" w:space="0" w:color="auto"/>
      </w:divBdr>
    </w:div>
    <w:div w:id="2010599930">
      <w:bodyDiv w:val="1"/>
      <w:marLeft w:val="0"/>
      <w:marRight w:val="0"/>
      <w:marTop w:val="0"/>
      <w:marBottom w:val="0"/>
      <w:divBdr>
        <w:top w:val="none" w:sz="0" w:space="0" w:color="auto"/>
        <w:left w:val="none" w:sz="0" w:space="0" w:color="auto"/>
        <w:bottom w:val="none" w:sz="0" w:space="0" w:color="auto"/>
        <w:right w:val="none" w:sz="0" w:space="0" w:color="auto"/>
      </w:divBdr>
    </w:div>
    <w:div w:id="2026243117">
      <w:bodyDiv w:val="1"/>
      <w:marLeft w:val="0"/>
      <w:marRight w:val="0"/>
      <w:marTop w:val="0"/>
      <w:marBottom w:val="0"/>
      <w:divBdr>
        <w:top w:val="none" w:sz="0" w:space="0" w:color="auto"/>
        <w:left w:val="none" w:sz="0" w:space="0" w:color="auto"/>
        <w:bottom w:val="none" w:sz="0" w:space="0" w:color="auto"/>
        <w:right w:val="none" w:sz="0" w:space="0" w:color="auto"/>
      </w:divBdr>
    </w:div>
    <w:div w:id="20416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jarroba.com/seleccion-del-numero-optimo-clus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colab.research.google.com/drive/1-WQF6xk1ZEJcp1832_LEQuvY2FVQVUnn?usp=share_link"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C95679-32A0-45F7-AEF8-E2A04159DE3B}"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pt-BR"/>
        </a:p>
      </dgm:t>
    </dgm:pt>
    <dgm:pt modelId="{2A2829A0-C952-4C14-8F5D-C177D07EE6D4}">
      <dgm:prSet phldrT="[Texto]" custT="1"/>
      <dgm:spPr/>
      <dgm:t>
        <a:bodyPr/>
        <a:lstStyle/>
        <a:p>
          <a:r>
            <a:rPr lang="pt-BR" sz="700"/>
            <a:t>Dados Brutos</a:t>
          </a:r>
        </a:p>
      </dgm:t>
    </dgm:pt>
    <dgm:pt modelId="{29516FE3-12C8-47A5-B6A9-606FC9CEDF40}" type="parTrans" cxnId="{9C9BEEFC-B9F3-4953-A12C-2E5A43DF3F71}">
      <dgm:prSet/>
      <dgm:spPr/>
      <dgm:t>
        <a:bodyPr/>
        <a:lstStyle/>
        <a:p>
          <a:endParaRPr lang="pt-BR"/>
        </a:p>
      </dgm:t>
    </dgm:pt>
    <dgm:pt modelId="{88F4B17B-0973-49D4-BE0D-66F2171CC74A}" type="sibTrans" cxnId="{9C9BEEFC-B9F3-4953-A12C-2E5A43DF3F71}">
      <dgm:prSet/>
      <dgm:spPr/>
      <dgm:t>
        <a:bodyPr/>
        <a:lstStyle/>
        <a:p>
          <a:endParaRPr lang="pt-BR"/>
        </a:p>
      </dgm:t>
    </dgm:pt>
    <dgm:pt modelId="{F3B2FCD2-7855-49E9-809D-B21B9527BA55}">
      <dgm:prSet phldrT="[Texto]" custT="1"/>
      <dgm:spPr/>
      <dgm:t>
        <a:bodyPr/>
        <a:lstStyle/>
        <a:p>
          <a:pPr algn="r"/>
          <a:r>
            <a:rPr lang="pt-BR" sz="700"/>
            <a:t>Seleção</a:t>
          </a:r>
          <a:endParaRPr lang="pt-BR" sz="500"/>
        </a:p>
      </dgm:t>
    </dgm:pt>
    <dgm:pt modelId="{7B9B9D71-6CD4-4495-A0A9-76F5F92039B6}" type="parTrans" cxnId="{CC8D45DB-95A2-43AE-8079-23490A4A916D}">
      <dgm:prSet/>
      <dgm:spPr/>
      <dgm:t>
        <a:bodyPr/>
        <a:lstStyle/>
        <a:p>
          <a:endParaRPr lang="pt-BR"/>
        </a:p>
      </dgm:t>
    </dgm:pt>
    <dgm:pt modelId="{12D05294-A671-4FFD-A509-CB17B2F4FF87}" type="sibTrans" cxnId="{CC8D45DB-95A2-43AE-8079-23490A4A916D}">
      <dgm:prSet/>
      <dgm:spPr/>
      <dgm:t>
        <a:bodyPr/>
        <a:lstStyle/>
        <a:p>
          <a:endParaRPr lang="pt-BR"/>
        </a:p>
      </dgm:t>
    </dgm:pt>
    <dgm:pt modelId="{D8C31F03-C1B1-4A7E-ABE2-6E9911EBF8A1}">
      <dgm:prSet phldrT="[Texto]" custT="1"/>
      <dgm:spPr/>
      <dgm:t>
        <a:bodyPr/>
        <a:lstStyle/>
        <a:p>
          <a:r>
            <a:rPr lang="pt-BR" sz="700"/>
            <a:t>Dados Alvo</a:t>
          </a:r>
        </a:p>
      </dgm:t>
    </dgm:pt>
    <dgm:pt modelId="{7103C8D1-9ADB-47DF-B6C2-42B78B78AB4B}" type="parTrans" cxnId="{F2BF593D-9BA9-44D0-9E0A-AD6EE7DC3BA8}">
      <dgm:prSet/>
      <dgm:spPr/>
      <dgm:t>
        <a:bodyPr/>
        <a:lstStyle/>
        <a:p>
          <a:endParaRPr lang="pt-BR"/>
        </a:p>
      </dgm:t>
    </dgm:pt>
    <dgm:pt modelId="{8B96B048-80C7-48E4-9258-A5CD81EA06A3}" type="sibTrans" cxnId="{F2BF593D-9BA9-44D0-9E0A-AD6EE7DC3BA8}">
      <dgm:prSet/>
      <dgm:spPr/>
      <dgm:t>
        <a:bodyPr/>
        <a:lstStyle/>
        <a:p>
          <a:endParaRPr lang="pt-BR"/>
        </a:p>
      </dgm:t>
    </dgm:pt>
    <dgm:pt modelId="{A860FED2-5F02-4C34-8D96-1B09254D28D9}">
      <dgm:prSet phldrT="[Texto]" custT="1"/>
      <dgm:spPr/>
      <dgm:t>
        <a:bodyPr/>
        <a:lstStyle/>
        <a:p>
          <a:pPr algn="r"/>
          <a:r>
            <a:rPr lang="pt-BR" sz="700"/>
            <a:t>Pré-processamento</a:t>
          </a:r>
        </a:p>
      </dgm:t>
    </dgm:pt>
    <dgm:pt modelId="{230F9C16-858C-4208-838D-6C21CD411153}" type="parTrans" cxnId="{B7C0A865-17FE-46E5-83FB-7A2AE2E95E36}">
      <dgm:prSet/>
      <dgm:spPr/>
      <dgm:t>
        <a:bodyPr/>
        <a:lstStyle/>
        <a:p>
          <a:endParaRPr lang="pt-BR"/>
        </a:p>
      </dgm:t>
    </dgm:pt>
    <dgm:pt modelId="{FD60E493-3384-4F08-8C9F-1ACC027397DA}" type="sibTrans" cxnId="{B7C0A865-17FE-46E5-83FB-7A2AE2E95E36}">
      <dgm:prSet/>
      <dgm:spPr/>
      <dgm:t>
        <a:bodyPr/>
        <a:lstStyle/>
        <a:p>
          <a:endParaRPr lang="pt-BR"/>
        </a:p>
      </dgm:t>
    </dgm:pt>
    <dgm:pt modelId="{3F4ACFC0-5C7E-4E8E-9E26-1451162C3DA5}">
      <dgm:prSet phldrT="[Texto]" custT="1"/>
      <dgm:spPr/>
      <dgm:t>
        <a:bodyPr/>
        <a:lstStyle/>
        <a:p>
          <a:r>
            <a:rPr lang="pt-BR" sz="700"/>
            <a:t>Dados pré-processados</a:t>
          </a:r>
        </a:p>
      </dgm:t>
    </dgm:pt>
    <dgm:pt modelId="{E72710F6-FFBE-4E0B-85D9-E3CBF9D23DB2}" type="parTrans" cxnId="{BCF4BDA0-9A4E-4D81-99EF-978230256F7D}">
      <dgm:prSet/>
      <dgm:spPr/>
      <dgm:t>
        <a:bodyPr/>
        <a:lstStyle/>
        <a:p>
          <a:endParaRPr lang="pt-BR"/>
        </a:p>
      </dgm:t>
    </dgm:pt>
    <dgm:pt modelId="{68B32EB3-772C-4D47-86E3-2FA3765A41EA}" type="sibTrans" cxnId="{BCF4BDA0-9A4E-4D81-99EF-978230256F7D}">
      <dgm:prSet/>
      <dgm:spPr/>
      <dgm:t>
        <a:bodyPr/>
        <a:lstStyle/>
        <a:p>
          <a:endParaRPr lang="pt-BR"/>
        </a:p>
      </dgm:t>
    </dgm:pt>
    <dgm:pt modelId="{3C842076-5A5A-4958-AAA8-3C83C1D2713A}">
      <dgm:prSet phldrT="[Texto]" custT="1"/>
      <dgm:spPr/>
      <dgm:t>
        <a:bodyPr/>
        <a:lstStyle/>
        <a:p>
          <a:pPr algn="r"/>
          <a:r>
            <a:rPr lang="pt-BR" sz="700"/>
            <a:t>Transformação</a:t>
          </a:r>
          <a:endParaRPr lang="pt-BR" sz="500"/>
        </a:p>
      </dgm:t>
    </dgm:pt>
    <dgm:pt modelId="{D0F9CFE5-9E0D-4B5C-BB73-A4C9AD653D20}" type="parTrans" cxnId="{1EFBFA48-EF4F-4442-9AD0-DD0BC4E30BF1}">
      <dgm:prSet/>
      <dgm:spPr/>
      <dgm:t>
        <a:bodyPr/>
        <a:lstStyle/>
        <a:p>
          <a:endParaRPr lang="pt-BR"/>
        </a:p>
      </dgm:t>
    </dgm:pt>
    <dgm:pt modelId="{53F6D851-32B5-46E0-85E2-62C17033F1D2}" type="sibTrans" cxnId="{1EFBFA48-EF4F-4442-9AD0-DD0BC4E30BF1}">
      <dgm:prSet/>
      <dgm:spPr/>
      <dgm:t>
        <a:bodyPr/>
        <a:lstStyle/>
        <a:p>
          <a:endParaRPr lang="pt-BR"/>
        </a:p>
      </dgm:t>
    </dgm:pt>
    <dgm:pt modelId="{E889BC3B-D1B9-4A72-A7A6-63AD1C1533B6}">
      <dgm:prSet custT="1"/>
      <dgm:spPr/>
      <dgm:t>
        <a:bodyPr/>
        <a:lstStyle/>
        <a:p>
          <a:r>
            <a:rPr lang="pt-BR" sz="700"/>
            <a:t>Dados transformados</a:t>
          </a:r>
        </a:p>
      </dgm:t>
    </dgm:pt>
    <dgm:pt modelId="{7F0D4D1D-425C-491C-B0F6-15A61E9DC441}" type="parTrans" cxnId="{BC9C5941-8D11-495B-94ED-921215774351}">
      <dgm:prSet/>
      <dgm:spPr/>
      <dgm:t>
        <a:bodyPr/>
        <a:lstStyle/>
        <a:p>
          <a:endParaRPr lang="pt-BR"/>
        </a:p>
      </dgm:t>
    </dgm:pt>
    <dgm:pt modelId="{DCDB6C27-DFC4-4633-905E-3FF7E74EC4D3}" type="sibTrans" cxnId="{BC9C5941-8D11-495B-94ED-921215774351}">
      <dgm:prSet/>
      <dgm:spPr/>
      <dgm:t>
        <a:bodyPr/>
        <a:lstStyle/>
        <a:p>
          <a:endParaRPr lang="pt-BR"/>
        </a:p>
      </dgm:t>
    </dgm:pt>
    <dgm:pt modelId="{4F9B5BC8-B7F5-47B0-AC58-9D14C04AE218}">
      <dgm:prSet custT="1"/>
      <dgm:spPr/>
      <dgm:t>
        <a:bodyPr/>
        <a:lstStyle/>
        <a:p>
          <a:r>
            <a:rPr lang="pt-BR" sz="700"/>
            <a:t>Padrões</a:t>
          </a:r>
        </a:p>
      </dgm:t>
    </dgm:pt>
    <dgm:pt modelId="{94C0D24E-39CF-4BDA-98A5-83D832DA5CA5}" type="parTrans" cxnId="{6BB81096-D6DA-4F74-84BA-61C6DCDC7F8C}">
      <dgm:prSet/>
      <dgm:spPr/>
      <dgm:t>
        <a:bodyPr/>
        <a:lstStyle/>
        <a:p>
          <a:endParaRPr lang="pt-BR"/>
        </a:p>
      </dgm:t>
    </dgm:pt>
    <dgm:pt modelId="{34B0C83B-2B19-488B-8F4D-59283164697B}" type="sibTrans" cxnId="{6BB81096-D6DA-4F74-84BA-61C6DCDC7F8C}">
      <dgm:prSet/>
      <dgm:spPr/>
      <dgm:t>
        <a:bodyPr/>
        <a:lstStyle/>
        <a:p>
          <a:endParaRPr lang="pt-BR"/>
        </a:p>
      </dgm:t>
    </dgm:pt>
    <dgm:pt modelId="{F3292FBB-5319-4AE0-BEBC-B7DE8F8A1096}">
      <dgm:prSet custT="1"/>
      <dgm:spPr/>
      <dgm:t>
        <a:bodyPr/>
        <a:lstStyle/>
        <a:p>
          <a:pPr algn="r"/>
          <a:r>
            <a:rPr lang="pt-BR" sz="700"/>
            <a:t>Mineração de dados</a:t>
          </a:r>
        </a:p>
      </dgm:t>
    </dgm:pt>
    <dgm:pt modelId="{81C87274-CB1C-4A0F-B464-0397035A6840}" type="parTrans" cxnId="{C86D0F46-ED73-49C7-B458-C7BE77BFD2DD}">
      <dgm:prSet/>
      <dgm:spPr/>
      <dgm:t>
        <a:bodyPr/>
        <a:lstStyle/>
        <a:p>
          <a:endParaRPr lang="pt-BR"/>
        </a:p>
      </dgm:t>
    </dgm:pt>
    <dgm:pt modelId="{A595E946-496A-438B-8315-C35FF42A35C4}" type="sibTrans" cxnId="{C86D0F46-ED73-49C7-B458-C7BE77BFD2DD}">
      <dgm:prSet/>
      <dgm:spPr/>
      <dgm:t>
        <a:bodyPr/>
        <a:lstStyle/>
        <a:p>
          <a:endParaRPr lang="pt-BR"/>
        </a:p>
      </dgm:t>
    </dgm:pt>
    <dgm:pt modelId="{98FCA748-325A-4371-9AF2-C0B210A4FA60}">
      <dgm:prSet custT="1"/>
      <dgm:spPr/>
      <dgm:t>
        <a:bodyPr/>
        <a:lstStyle/>
        <a:p>
          <a:pPr algn="r">
            <a:spcAft>
              <a:spcPts val="0"/>
            </a:spcAft>
          </a:pPr>
          <a:r>
            <a:rPr lang="pt-BR" sz="700"/>
            <a:t>Avaliação/ interpreta</a:t>
          </a:r>
        </a:p>
        <a:p>
          <a:pPr algn="r">
            <a:spcAft>
              <a:spcPct val="35000"/>
            </a:spcAft>
          </a:pPr>
          <a:r>
            <a:rPr lang="pt-BR" sz="700"/>
            <a:t>ção</a:t>
          </a:r>
        </a:p>
      </dgm:t>
    </dgm:pt>
    <dgm:pt modelId="{72189EED-74C3-4ED6-A86B-0F1591BE358D}" type="parTrans" cxnId="{70C9737D-1E13-418F-AAE3-EBF05B50FFA2}">
      <dgm:prSet/>
      <dgm:spPr/>
      <dgm:t>
        <a:bodyPr/>
        <a:lstStyle/>
        <a:p>
          <a:endParaRPr lang="pt-BR"/>
        </a:p>
      </dgm:t>
    </dgm:pt>
    <dgm:pt modelId="{9696CA78-6C5C-4B1E-830F-C68218F0D162}" type="sibTrans" cxnId="{70C9737D-1E13-418F-AAE3-EBF05B50FFA2}">
      <dgm:prSet/>
      <dgm:spPr/>
      <dgm:t>
        <a:bodyPr/>
        <a:lstStyle/>
        <a:p>
          <a:endParaRPr lang="pt-BR"/>
        </a:p>
      </dgm:t>
    </dgm:pt>
    <dgm:pt modelId="{D5EED722-2D15-4A02-9E36-1579B01B4608}">
      <dgm:prSet custT="1"/>
      <dgm:spPr/>
      <dgm:t>
        <a:bodyPr/>
        <a:lstStyle/>
        <a:p>
          <a:r>
            <a:rPr lang="pt-BR" sz="800"/>
            <a:t>Conhecimento</a:t>
          </a:r>
          <a:endParaRPr lang="pt-BR" sz="700"/>
        </a:p>
      </dgm:t>
    </dgm:pt>
    <dgm:pt modelId="{9A90759A-7932-42F6-997C-32F3ED533522}" type="parTrans" cxnId="{3407B337-0533-4691-BF82-9E107440A506}">
      <dgm:prSet/>
      <dgm:spPr/>
      <dgm:t>
        <a:bodyPr/>
        <a:lstStyle/>
        <a:p>
          <a:endParaRPr lang="pt-BR"/>
        </a:p>
      </dgm:t>
    </dgm:pt>
    <dgm:pt modelId="{FE2DA041-4956-46AF-A747-F6AD100032AA}" type="sibTrans" cxnId="{3407B337-0533-4691-BF82-9E107440A506}">
      <dgm:prSet/>
      <dgm:spPr/>
      <dgm:t>
        <a:bodyPr/>
        <a:lstStyle/>
        <a:p>
          <a:endParaRPr lang="pt-BR"/>
        </a:p>
      </dgm:t>
    </dgm:pt>
    <dgm:pt modelId="{C735ACDB-5D60-4256-85FB-F130B21155C9}" type="pres">
      <dgm:prSet presAssocID="{25C95679-32A0-45F7-AEF8-E2A04159DE3B}" presName="theList" presStyleCnt="0">
        <dgm:presLayoutVars>
          <dgm:dir/>
          <dgm:animLvl val="lvl"/>
          <dgm:resizeHandles val="exact"/>
        </dgm:presLayoutVars>
      </dgm:prSet>
      <dgm:spPr/>
    </dgm:pt>
    <dgm:pt modelId="{5F90EB91-0A32-481A-9FC9-BABF35BC6D9A}" type="pres">
      <dgm:prSet presAssocID="{2A2829A0-C952-4C14-8F5D-C177D07EE6D4}" presName="compNode" presStyleCnt="0"/>
      <dgm:spPr/>
    </dgm:pt>
    <dgm:pt modelId="{0A52463A-7A58-4C69-8DAB-3FFD31679F0B}" type="pres">
      <dgm:prSet presAssocID="{2A2829A0-C952-4C14-8F5D-C177D07EE6D4}" presName="noGeometry" presStyleCnt="0"/>
      <dgm:spPr/>
    </dgm:pt>
    <dgm:pt modelId="{F7DCE0AD-723F-4729-A675-70AEBFC5F7B4}" type="pres">
      <dgm:prSet presAssocID="{2A2829A0-C952-4C14-8F5D-C177D07EE6D4}" presName="childTextVisible" presStyleLbl="bgAccFollowNode1" presStyleIdx="0" presStyleCnt="6" custScaleX="116490" custScaleY="120921" custLinFactNeighborX="20598">
        <dgm:presLayoutVars>
          <dgm:bulletEnabled val="1"/>
        </dgm:presLayoutVars>
      </dgm:prSet>
      <dgm:spPr/>
    </dgm:pt>
    <dgm:pt modelId="{49FF9F3E-C624-4AE6-A920-22A2CBAFAB81}" type="pres">
      <dgm:prSet presAssocID="{2A2829A0-C952-4C14-8F5D-C177D07EE6D4}" presName="childTextHidden" presStyleLbl="bgAccFollowNode1" presStyleIdx="0" presStyleCnt="6"/>
      <dgm:spPr/>
    </dgm:pt>
    <dgm:pt modelId="{A77191C6-B1AE-4046-B825-578D30F3BB6F}" type="pres">
      <dgm:prSet presAssocID="{2A2829A0-C952-4C14-8F5D-C177D07EE6D4}" presName="parentText" presStyleLbl="node1" presStyleIdx="0" presStyleCnt="6" custScaleX="178775" custScaleY="175587" custLinFactNeighborX="-49237">
        <dgm:presLayoutVars>
          <dgm:chMax val="1"/>
          <dgm:bulletEnabled val="1"/>
        </dgm:presLayoutVars>
      </dgm:prSet>
      <dgm:spPr/>
    </dgm:pt>
    <dgm:pt modelId="{6DCA3EFD-EE48-4A77-9D51-2C4F310819FF}" type="pres">
      <dgm:prSet presAssocID="{2A2829A0-C952-4C14-8F5D-C177D07EE6D4}" presName="aSpace" presStyleCnt="0"/>
      <dgm:spPr/>
    </dgm:pt>
    <dgm:pt modelId="{A0A5F35D-74F5-4845-AB19-8C6CE874A48E}" type="pres">
      <dgm:prSet presAssocID="{D8C31F03-C1B1-4A7E-ABE2-6E9911EBF8A1}" presName="compNode" presStyleCnt="0"/>
      <dgm:spPr/>
    </dgm:pt>
    <dgm:pt modelId="{C61391E7-BA58-47F3-89BD-3E0A7EC495AF}" type="pres">
      <dgm:prSet presAssocID="{D8C31F03-C1B1-4A7E-ABE2-6E9911EBF8A1}" presName="noGeometry" presStyleCnt="0"/>
      <dgm:spPr/>
    </dgm:pt>
    <dgm:pt modelId="{1D86144F-C024-4CF0-B0B1-1753E298640E}" type="pres">
      <dgm:prSet presAssocID="{D8C31F03-C1B1-4A7E-ABE2-6E9911EBF8A1}" presName="childTextVisible" presStyleLbl="bgAccFollowNode1" presStyleIdx="1" presStyleCnt="6" custScaleX="129580" custScaleY="120921" custLinFactNeighborX="14238">
        <dgm:presLayoutVars>
          <dgm:bulletEnabled val="1"/>
        </dgm:presLayoutVars>
      </dgm:prSet>
      <dgm:spPr/>
    </dgm:pt>
    <dgm:pt modelId="{8A9AB795-15E2-473F-A8B2-5B005776D65B}" type="pres">
      <dgm:prSet presAssocID="{D8C31F03-C1B1-4A7E-ABE2-6E9911EBF8A1}" presName="childTextHidden" presStyleLbl="bgAccFollowNode1" presStyleIdx="1" presStyleCnt="6"/>
      <dgm:spPr/>
    </dgm:pt>
    <dgm:pt modelId="{CFC8CA27-EC1B-448A-B6AA-D57A56D04831}" type="pres">
      <dgm:prSet presAssocID="{D8C31F03-C1B1-4A7E-ABE2-6E9911EBF8A1}" presName="parentText" presStyleLbl="node1" presStyleIdx="1" presStyleCnt="6" custScaleX="166045" custScaleY="176273" custLinFactNeighborX="-17220">
        <dgm:presLayoutVars>
          <dgm:chMax val="1"/>
          <dgm:bulletEnabled val="1"/>
        </dgm:presLayoutVars>
      </dgm:prSet>
      <dgm:spPr/>
    </dgm:pt>
    <dgm:pt modelId="{9969D7E9-E1CB-43CD-9E2A-CD5C088AEB8D}" type="pres">
      <dgm:prSet presAssocID="{D8C31F03-C1B1-4A7E-ABE2-6E9911EBF8A1}" presName="aSpace" presStyleCnt="0"/>
      <dgm:spPr/>
    </dgm:pt>
    <dgm:pt modelId="{9807CB5A-0B89-4CF1-9054-7E2CC9A3F5B5}" type="pres">
      <dgm:prSet presAssocID="{3F4ACFC0-5C7E-4E8E-9E26-1451162C3DA5}" presName="compNode" presStyleCnt="0"/>
      <dgm:spPr/>
    </dgm:pt>
    <dgm:pt modelId="{45566620-126E-4B37-8228-FF2D12BFA4FC}" type="pres">
      <dgm:prSet presAssocID="{3F4ACFC0-5C7E-4E8E-9E26-1451162C3DA5}" presName="noGeometry" presStyleCnt="0"/>
      <dgm:spPr/>
    </dgm:pt>
    <dgm:pt modelId="{ED846E7F-E257-4A06-A935-D2BC4F3319FB}" type="pres">
      <dgm:prSet presAssocID="{3F4ACFC0-5C7E-4E8E-9E26-1451162C3DA5}" presName="childTextVisible" presStyleLbl="bgAccFollowNode1" presStyleIdx="2" presStyleCnt="6" custScaleX="131514" custScaleY="117012" custLinFactNeighborX="14697">
        <dgm:presLayoutVars>
          <dgm:bulletEnabled val="1"/>
        </dgm:presLayoutVars>
      </dgm:prSet>
      <dgm:spPr/>
    </dgm:pt>
    <dgm:pt modelId="{1C316A19-7BC6-473C-AA7F-6C7EFA4B98BB}" type="pres">
      <dgm:prSet presAssocID="{3F4ACFC0-5C7E-4E8E-9E26-1451162C3DA5}" presName="childTextHidden" presStyleLbl="bgAccFollowNode1" presStyleIdx="2" presStyleCnt="6"/>
      <dgm:spPr/>
    </dgm:pt>
    <dgm:pt modelId="{967EB4E8-6F7C-4031-9AF2-1D376E4A0184}" type="pres">
      <dgm:prSet presAssocID="{3F4ACFC0-5C7E-4E8E-9E26-1451162C3DA5}" presName="parentText" presStyleLbl="node1" presStyleIdx="2" presStyleCnt="6" custScaleX="179404" custScaleY="172896" custLinFactNeighborX="-17292">
        <dgm:presLayoutVars>
          <dgm:chMax val="1"/>
          <dgm:bulletEnabled val="1"/>
        </dgm:presLayoutVars>
      </dgm:prSet>
      <dgm:spPr/>
    </dgm:pt>
    <dgm:pt modelId="{AA927390-DE91-41F0-AB44-715E5E0793D6}" type="pres">
      <dgm:prSet presAssocID="{3F4ACFC0-5C7E-4E8E-9E26-1451162C3DA5}" presName="aSpace" presStyleCnt="0"/>
      <dgm:spPr/>
    </dgm:pt>
    <dgm:pt modelId="{B74B91F1-4C0C-4D0E-B67A-318342C0B107}" type="pres">
      <dgm:prSet presAssocID="{E889BC3B-D1B9-4A72-A7A6-63AD1C1533B6}" presName="compNode" presStyleCnt="0"/>
      <dgm:spPr/>
    </dgm:pt>
    <dgm:pt modelId="{9EF95CE1-F58F-458A-869F-779C43B31BB2}" type="pres">
      <dgm:prSet presAssocID="{E889BC3B-D1B9-4A72-A7A6-63AD1C1533B6}" presName="noGeometry" presStyleCnt="0"/>
      <dgm:spPr/>
    </dgm:pt>
    <dgm:pt modelId="{B9408D63-B495-4385-9783-3161ED9A2FC0}" type="pres">
      <dgm:prSet presAssocID="{E889BC3B-D1B9-4A72-A7A6-63AD1C1533B6}" presName="childTextVisible" presStyleLbl="bgAccFollowNode1" presStyleIdx="3" presStyleCnt="6" custScaleX="153660" custScaleY="123962" custLinFactNeighborX="16698">
        <dgm:presLayoutVars>
          <dgm:bulletEnabled val="1"/>
        </dgm:presLayoutVars>
      </dgm:prSet>
      <dgm:spPr/>
    </dgm:pt>
    <dgm:pt modelId="{A4DA6CD4-D1A8-43B0-BBBF-05D7AE856589}" type="pres">
      <dgm:prSet presAssocID="{E889BC3B-D1B9-4A72-A7A6-63AD1C1533B6}" presName="childTextHidden" presStyleLbl="bgAccFollowNode1" presStyleIdx="3" presStyleCnt="6"/>
      <dgm:spPr/>
    </dgm:pt>
    <dgm:pt modelId="{570B2693-4769-4D76-8AED-758A521E1318}" type="pres">
      <dgm:prSet presAssocID="{E889BC3B-D1B9-4A72-A7A6-63AD1C1533B6}" presName="parentText" presStyleLbl="node1" presStyleIdx="3" presStyleCnt="6" custScaleX="169515" custScaleY="156442" custLinFactNeighborX="-17292">
        <dgm:presLayoutVars>
          <dgm:chMax val="1"/>
          <dgm:bulletEnabled val="1"/>
        </dgm:presLayoutVars>
      </dgm:prSet>
      <dgm:spPr/>
    </dgm:pt>
    <dgm:pt modelId="{147895D1-566B-41D1-845D-C4EB577635E6}" type="pres">
      <dgm:prSet presAssocID="{E889BC3B-D1B9-4A72-A7A6-63AD1C1533B6}" presName="aSpace" presStyleCnt="0"/>
      <dgm:spPr/>
    </dgm:pt>
    <dgm:pt modelId="{8320B70D-C047-42DE-BC95-03DA2712AD39}" type="pres">
      <dgm:prSet presAssocID="{4F9B5BC8-B7F5-47B0-AC58-9D14C04AE218}" presName="compNode" presStyleCnt="0"/>
      <dgm:spPr/>
    </dgm:pt>
    <dgm:pt modelId="{036A0C80-564D-4368-9B65-1591B32CF601}" type="pres">
      <dgm:prSet presAssocID="{4F9B5BC8-B7F5-47B0-AC58-9D14C04AE218}" presName="noGeometry" presStyleCnt="0"/>
      <dgm:spPr/>
    </dgm:pt>
    <dgm:pt modelId="{BCA716E6-6C10-4545-9275-F7E91861D552}" type="pres">
      <dgm:prSet presAssocID="{4F9B5BC8-B7F5-47B0-AC58-9D14C04AE218}" presName="childTextVisible" presStyleLbl="bgAccFollowNode1" presStyleIdx="4" presStyleCnt="6" custScaleX="148858" custScaleY="113536" custLinFactNeighborX="27105">
        <dgm:presLayoutVars>
          <dgm:bulletEnabled val="1"/>
        </dgm:presLayoutVars>
      </dgm:prSet>
      <dgm:spPr/>
    </dgm:pt>
    <dgm:pt modelId="{26598475-F304-4356-9E97-1DC2262CBF7F}" type="pres">
      <dgm:prSet presAssocID="{4F9B5BC8-B7F5-47B0-AC58-9D14C04AE218}" presName="childTextHidden" presStyleLbl="bgAccFollowNode1" presStyleIdx="4" presStyleCnt="6"/>
      <dgm:spPr/>
    </dgm:pt>
    <dgm:pt modelId="{34970005-2BEC-4A76-9794-D1CCC1A73481}" type="pres">
      <dgm:prSet presAssocID="{4F9B5BC8-B7F5-47B0-AC58-9D14C04AE218}" presName="parentText" presStyleLbl="node1" presStyleIdx="4" presStyleCnt="6" custScaleX="163460" custScaleY="170662" custLinFactNeighborX="-10017">
        <dgm:presLayoutVars>
          <dgm:chMax val="1"/>
          <dgm:bulletEnabled val="1"/>
        </dgm:presLayoutVars>
      </dgm:prSet>
      <dgm:spPr/>
    </dgm:pt>
    <dgm:pt modelId="{707A30C5-FC4D-42BB-93E5-21E0E6238E76}" type="pres">
      <dgm:prSet presAssocID="{4F9B5BC8-B7F5-47B0-AC58-9D14C04AE218}" presName="aSpace" presStyleCnt="0"/>
      <dgm:spPr/>
    </dgm:pt>
    <dgm:pt modelId="{FDEE74FD-686B-4447-94B5-C15D3FA108BF}" type="pres">
      <dgm:prSet presAssocID="{D5EED722-2D15-4A02-9E36-1579B01B4608}" presName="compNode" presStyleCnt="0"/>
      <dgm:spPr/>
    </dgm:pt>
    <dgm:pt modelId="{ECB8DEC8-02E7-4CA5-8723-EB07C2BE266C}" type="pres">
      <dgm:prSet presAssocID="{D5EED722-2D15-4A02-9E36-1579B01B4608}" presName="noGeometry" presStyleCnt="0"/>
      <dgm:spPr/>
    </dgm:pt>
    <dgm:pt modelId="{3454729F-6C0B-442D-9688-2506A11EE80A}" type="pres">
      <dgm:prSet presAssocID="{D5EED722-2D15-4A02-9E36-1579B01B4608}" presName="childTextVisible" presStyleLbl="bgAccFollowNode1" presStyleIdx="5" presStyleCnt="6" custScaleY="132910">
        <dgm:presLayoutVars>
          <dgm:bulletEnabled val="1"/>
        </dgm:presLayoutVars>
      </dgm:prSet>
      <dgm:spPr/>
    </dgm:pt>
    <dgm:pt modelId="{118D57C5-DF27-4D57-B858-4BAE303890CB}" type="pres">
      <dgm:prSet presAssocID="{D5EED722-2D15-4A02-9E36-1579B01B4608}" presName="childTextHidden" presStyleLbl="bgAccFollowNode1" presStyleIdx="5" presStyleCnt="6"/>
      <dgm:spPr/>
    </dgm:pt>
    <dgm:pt modelId="{C4F8D61A-2ED5-4436-B7B6-514C27BBBE2A}" type="pres">
      <dgm:prSet presAssocID="{D5EED722-2D15-4A02-9E36-1579B01B4608}" presName="parentText" presStyleLbl="node1" presStyleIdx="5" presStyleCnt="6" custScaleX="353482" custScaleY="214355" custLinFactNeighborX="52493" custLinFactNeighborY="-5833">
        <dgm:presLayoutVars>
          <dgm:chMax val="1"/>
          <dgm:bulletEnabled val="1"/>
        </dgm:presLayoutVars>
      </dgm:prSet>
      <dgm:spPr/>
    </dgm:pt>
  </dgm:ptLst>
  <dgm:cxnLst>
    <dgm:cxn modelId="{5B2A2A08-D350-4FBA-A9B0-0A0F70865A75}" type="presOf" srcId="{F3292FBB-5319-4AE0-BEBC-B7DE8F8A1096}" destId="{A4DA6CD4-D1A8-43B0-BBBF-05D7AE856589}" srcOrd="1" destOrd="0" presId="urn:microsoft.com/office/officeart/2005/8/layout/hProcess6"/>
    <dgm:cxn modelId="{3407B337-0533-4691-BF82-9E107440A506}" srcId="{25C95679-32A0-45F7-AEF8-E2A04159DE3B}" destId="{D5EED722-2D15-4A02-9E36-1579B01B4608}" srcOrd="5" destOrd="0" parTransId="{9A90759A-7932-42F6-997C-32F3ED533522}" sibTransId="{FE2DA041-4956-46AF-A747-F6AD100032AA}"/>
    <dgm:cxn modelId="{F2BF593D-9BA9-44D0-9E0A-AD6EE7DC3BA8}" srcId="{25C95679-32A0-45F7-AEF8-E2A04159DE3B}" destId="{D8C31F03-C1B1-4A7E-ABE2-6E9911EBF8A1}" srcOrd="1" destOrd="0" parTransId="{7103C8D1-9ADB-47DF-B6C2-42B78B78AB4B}" sibTransId="{8B96B048-80C7-48E4-9258-A5CD81EA06A3}"/>
    <dgm:cxn modelId="{BC9C5941-8D11-495B-94ED-921215774351}" srcId="{25C95679-32A0-45F7-AEF8-E2A04159DE3B}" destId="{E889BC3B-D1B9-4A72-A7A6-63AD1C1533B6}" srcOrd="3" destOrd="0" parTransId="{7F0D4D1D-425C-491C-B0F6-15A61E9DC441}" sibTransId="{DCDB6C27-DFC4-4633-905E-3FF7E74EC4D3}"/>
    <dgm:cxn modelId="{C86D0F46-ED73-49C7-B458-C7BE77BFD2DD}" srcId="{E889BC3B-D1B9-4A72-A7A6-63AD1C1533B6}" destId="{F3292FBB-5319-4AE0-BEBC-B7DE8F8A1096}" srcOrd="0" destOrd="0" parTransId="{81C87274-CB1C-4A0F-B464-0397035A6840}" sibTransId="{A595E946-496A-438B-8315-C35FF42A35C4}"/>
    <dgm:cxn modelId="{1EFBFA48-EF4F-4442-9AD0-DD0BC4E30BF1}" srcId="{3F4ACFC0-5C7E-4E8E-9E26-1451162C3DA5}" destId="{3C842076-5A5A-4958-AAA8-3C83C1D2713A}" srcOrd="0" destOrd="0" parTransId="{D0F9CFE5-9E0D-4B5C-BB73-A4C9AD653D20}" sibTransId="{53F6D851-32B5-46E0-85E2-62C17033F1D2}"/>
    <dgm:cxn modelId="{3104C750-43AF-4B9A-A4AA-3A701F1F0E50}" type="presOf" srcId="{F3B2FCD2-7855-49E9-809D-B21B9527BA55}" destId="{49FF9F3E-C624-4AE6-A920-22A2CBAFAB81}" srcOrd="1" destOrd="0" presId="urn:microsoft.com/office/officeart/2005/8/layout/hProcess6"/>
    <dgm:cxn modelId="{A0ECB055-38A0-4677-92DD-AD07BF495020}" type="presOf" srcId="{F3B2FCD2-7855-49E9-809D-B21B9527BA55}" destId="{F7DCE0AD-723F-4729-A675-70AEBFC5F7B4}" srcOrd="0" destOrd="0" presId="urn:microsoft.com/office/officeart/2005/8/layout/hProcess6"/>
    <dgm:cxn modelId="{B7C0A865-17FE-46E5-83FB-7A2AE2E95E36}" srcId="{D8C31F03-C1B1-4A7E-ABE2-6E9911EBF8A1}" destId="{A860FED2-5F02-4C34-8D96-1B09254D28D9}" srcOrd="0" destOrd="0" parTransId="{230F9C16-858C-4208-838D-6C21CD411153}" sibTransId="{FD60E493-3384-4F08-8C9F-1ACC027397DA}"/>
    <dgm:cxn modelId="{C9204B6E-7F82-4020-9EBF-E13D9A579E0E}" type="presOf" srcId="{3C842076-5A5A-4958-AAA8-3C83C1D2713A}" destId="{1C316A19-7BC6-473C-AA7F-6C7EFA4B98BB}" srcOrd="1" destOrd="0" presId="urn:microsoft.com/office/officeart/2005/8/layout/hProcess6"/>
    <dgm:cxn modelId="{BFA17E79-DC18-43A5-AA09-D7C0F208CAA4}" type="presOf" srcId="{3F4ACFC0-5C7E-4E8E-9E26-1451162C3DA5}" destId="{967EB4E8-6F7C-4031-9AF2-1D376E4A0184}" srcOrd="0" destOrd="0" presId="urn:microsoft.com/office/officeart/2005/8/layout/hProcess6"/>
    <dgm:cxn modelId="{8411317B-5A84-434E-BC4E-2E4F68F10813}" type="presOf" srcId="{4F9B5BC8-B7F5-47B0-AC58-9D14C04AE218}" destId="{34970005-2BEC-4A76-9794-D1CCC1A73481}" srcOrd="0" destOrd="0" presId="urn:microsoft.com/office/officeart/2005/8/layout/hProcess6"/>
    <dgm:cxn modelId="{70C9737D-1E13-418F-AAE3-EBF05B50FFA2}" srcId="{4F9B5BC8-B7F5-47B0-AC58-9D14C04AE218}" destId="{98FCA748-325A-4371-9AF2-C0B210A4FA60}" srcOrd="0" destOrd="0" parTransId="{72189EED-74C3-4ED6-A86B-0F1591BE358D}" sibTransId="{9696CA78-6C5C-4B1E-830F-C68218F0D162}"/>
    <dgm:cxn modelId="{96B41B91-CF62-4473-AFD3-94E75BD1DC90}" type="presOf" srcId="{2A2829A0-C952-4C14-8F5D-C177D07EE6D4}" destId="{A77191C6-B1AE-4046-B825-578D30F3BB6F}" srcOrd="0" destOrd="0" presId="urn:microsoft.com/office/officeart/2005/8/layout/hProcess6"/>
    <dgm:cxn modelId="{6BB81096-D6DA-4F74-84BA-61C6DCDC7F8C}" srcId="{25C95679-32A0-45F7-AEF8-E2A04159DE3B}" destId="{4F9B5BC8-B7F5-47B0-AC58-9D14C04AE218}" srcOrd="4" destOrd="0" parTransId="{94C0D24E-39CF-4BDA-98A5-83D832DA5CA5}" sibTransId="{34B0C83B-2B19-488B-8F4D-59283164697B}"/>
    <dgm:cxn modelId="{BCF4BDA0-9A4E-4D81-99EF-978230256F7D}" srcId="{25C95679-32A0-45F7-AEF8-E2A04159DE3B}" destId="{3F4ACFC0-5C7E-4E8E-9E26-1451162C3DA5}" srcOrd="2" destOrd="0" parTransId="{E72710F6-FFBE-4E0B-85D9-E3CBF9D23DB2}" sibTransId="{68B32EB3-772C-4D47-86E3-2FA3765A41EA}"/>
    <dgm:cxn modelId="{A683BEA4-FA28-44AA-8FEC-5E15E4A30930}" type="presOf" srcId="{25C95679-32A0-45F7-AEF8-E2A04159DE3B}" destId="{C735ACDB-5D60-4256-85FB-F130B21155C9}" srcOrd="0" destOrd="0" presId="urn:microsoft.com/office/officeart/2005/8/layout/hProcess6"/>
    <dgm:cxn modelId="{29336DB4-3511-4930-AE83-035845E20B31}" type="presOf" srcId="{98FCA748-325A-4371-9AF2-C0B210A4FA60}" destId="{26598475-F304-4356-9E97-1DC2262CBF7F}" srcOrd="1" destOrd="0" presId="urn:microsoft.com/office/officeart/2005/8/layout/hProcess6"/>
    <dgm:cxn modelId="{361D75BB-3692-4198-BFDA-B0E08F9E6AF1}" type="presOf" srcId="{98FCA748-325A-4371-9AF2-C0B210A4FA60}" destId="{BCA716E6-6C10-4545-9275-F7E91861D552}" srcOrd="0" destOrd="0" presId="urn:microsoft.com/office/officeart/2005/8/layout/hProcess6"/>
    <dgm:cxn modelId="{CC8D45DB-95A2-43AE-8079-23490A4A916D}" srcId="{2A2829A0-C952-4C14-8F5D-C177D07EE6D4}" destId="{F3B2FCD2-7855-49E9-809D-B21B9527BA55}" srcOrd="0" destOrd="0" parTransId="{7B9B9D71-6CD4-4495-A0A9-76F5F92039B6}" sibTransId="{12D05294-A671-4FFD-A509-CB17B2F4FF87}"/>
    <dgm:cxn modelId="{D20A91DC-3FAA-4A4C-A0E7-B0F37661D249}" type="presOf" srcId="{F3292FBB-5319-4AE0-BEBC-B7DE8F8A1096}" destId="{B9408D63-B495-4385-9783-3161ED9A2FC0}" srcOrd="0" destOrd="0" presId="urn:microsoft.com/office/officeart/2005/8/layout/hProcess6"/>
    <dgm:cxn modelId="{9D0FEFDF-B9A0-4CD3-A8BA-ADD4C2F69DCD}" type="presOf" srcId="{A860FED2-5F02-4C34-8D96-1B09254D28D9}" destId="{1D86144F-C024-4CF0-B0B1-1753E298640E}" srcOrd="0" destOrd="0" presId="urn:microsoft.com/office/officeart/2005/8/layout/hProcess6"/>
    <dgm:cxn modelId="{7943B9E1-E3C6-42F6-84E1-10A75BC74CFF}" type="presOf" srcId="{D8C31F03-C1B1-4A7E-ABE2-6E9911EBF8A1}" destId="{CFC8CA27-EC1B-448A-B6AA-D57A56D04831}" srcOrd="0" destOrd="0" presId="urn:microsoft.com/office/officeart/2005/8/layout/hProcess6"/>
    <dgm:cxn modelId="{C66965EB-0F4E-4609-91AE-488FD355F434}" type="presOf" srcId="{D5EED722-2D15-4A02-9E36-1579B01B4608}" destId="{C4F8D61A-2ED5-4436-B7B6-514C27BBBE2A}" srcOrd="0" destOrd="0" presId="urn:microsoft.com/office/officeart/2005/8/layout/hProcess6"/>
    <dgm:cxn modelId="{8E27A7EC-DC20-4514-93D2-04F08A5DAEB4}" type="presOf" srcId="{3C842076-5A5A-4958-AAA8-3C83C1D2713A}" destId="{ED846E7F-E257-4A06-A935-D2BC4F3319FB}" srcOrd="0" destOrd="0" presId="urn:microsoft.com/office/officeart/2005/8/layout/hProcess6"/>
    <dgm:cxn modelId="{2EAD3EEE-22CE-4394-B2D7-C23710AA92EA}" type="presOf" srcId="{A860FED2-5F02-4C34-8D96-1B09254D28D9}" destId="{8A9AB795-15E2-473F-A8B2-5B005776D65B}" srcOrd="1" destOrd="0" presId="urn:microsoft.com/office/officeart/2005/8/layout/hProcess6"/>
    <dgm:cxn modelId="{9C9BEEFC-B9F3-4953-A12C-2E5A43DF3F71}" srcId="{25C95679-32A0-45F7-AEF8-E2A04159DE3B}" destId="{2A2829A0-C952-4C14-8F5D-C177D07EE6D4}" srcOrd="0" destOrd="0" parTransId="{29516FE3-12C8-47A5-B6A9-606FC9CEDF40}" sibTransId="{88F4B17B-0973-49D4-BE0D-66F2171CC74A}"/>
    <dgm:cxn modelId="{5140FCFF-ED0B-4D52-87E4-35DFD108C61E}" type="presOf" srcId="{E889BC3B-D1B9-4A72-A7A6-63AD1C1533B6}" destId="{570B2693-4769-4D76-8AED-758A521E1318}" srcOrd="0" destOrd="0" presId="urn:microsoft.com/office/officeart/2005/8/layout/hProcess6"/>
    <dgm:cxn modelId="{F989806A-4694-45F2-9E43-67E4CC3E48FA}" type="presParOf" srcId="{C735ACDB-5D60-4256-85FB-F130B21155C9}" destId="{5F90EB91-0A32-481A-9FC9-BABF35BC6D9A}" srcOrd="0" destOrd="0" presId="urn:microsoft.com/office/officeart/2005/8/layout/hProcess6"/>
    <dgm:cxn modelId="{352AC72F-0A2D-4504-A2A6-4E033B7327DD}" type="presParOf" srcId="{5F90EB91-0A32-481A-9FC9-BABF35BC6D9A}" destId="{0A52463A-7A58-4C69-8DAB-3FFD31679F0B}" srcOrd="0" destOrd="0" presId="urn:microsoft.com/office/officeart/2005/8/layout/hProcess6"/>
    <dgm:cxn modelId="{FA673427-8FA9-46DD-B3A2-13FF299A2E52}" type="presParOf" srcId="{5F90EB91-0A32-481A-9FC9-BABF35BC6D9A}" destId="{F7DCE0AD-723F-4729-A675-70AEBFC5F7B4}" srcOrd="1" destOrd="0" presId="urn:microsoft.com/office/officeart/2005/8/layout/hProcess6"/>
    <dgm:cxn modelId="{ADB6784D-12AC-4100-82BD-1B4AA3B07368}" type="presParOf" srcId="{5F90EB91-0A32-481A-9FC9-BABF35BC6D9A}" destId="{49FF9F3E-C624-4AE6-A920-22A2CBAFAB81}" srcOrd="2" destOrd="0" presId="urn:microsoft.com/office/officeart/2005/8/layout/hProcess6"/>
    <dgm:cxn modelId="{962FAEF6-02CF-4ED0-8DE6-664540945327}" type="presParOf" srcId="{5F90EB91-0A32-481A-9FC9-BABF35BC6D9A}" destId="{A77191C6-B1AE-4046-B825-578D30F3BB6F}" srcOrd="3" destOrd="0" presId="urn:microsoft.com/office/officeart/2005/8/layout/hProcess6"/>
    <dgm:cxn modelId="{DDC4762C-6456-4809-8614-B8A2D36D99B2}" type="presParOf" srcId="{C735ACDB-5D60-4256-85FB-F130B21155C9}" destId="{6DCA3EFD-EE48-4A77-9D51-2C4F310819FF}" srcOrd="1" destOrd="0" presId="urn:microsoft.com/office/officeart/2005/8/layout/hProcess6"/>
    <dgm:cxn modelId="{40D99376-5DB9-42E8-9012-CB9D414CED65}" type="presParOf" srcId="{C735ACDB-5D60-4256-85FB-F130B21155C9}" destId="{A0A5F35D-74F5-4845-AB19-8C6CE874A48E}" srcOrd="2" destOrd="0" presId="urn:microsoft.com/office/officeart/2005/8/layout/hProcess6"/>
    <dgm:cxn modelId="{B904E251-4E77-4975-BE62-19640C8AAE29}" type="presParOf" srcId="{A0A5F35D-74F5-4845-AB19-8C6CE874A48E}" destId="{C61391E7-BA58-47F3-89BD-3E0A7EC495AF}" srcOrd="0" destOrd="0" presId="urn:microsoft.com/office/officeart/2005/8/layout/hProcess6"/>
    <dgm:cxn modelId="{0B6D6054-FCED-4E38-9786-E2826F7B4C2B}" type="presParOf" srcId="{A0A5F35D-74F5-4845-AB19-8C6CE874A48E}" destId="{1D86144F-C024-4CF0-B0B1-1753E298640E}" srcOrd="1" destOrd="0" presId="urn:microsoft.com/office/officeart/2005/8/layout/hProcess6"/>
    <dgm:cxn modelId="{941470E2-8B4A-41B3-B8F3-4157E34530C2}" type="presParOf" srcId="{A0A5F35D-74F5-4845-AB19-8C6CE874A48E}" destId="{8A9AB795-15E2-473F-A8B2-5B005776D65B}" srcOrd="2" destOrd="0" presId="urn:microsoft.com/office/officeart/2005/8/layout/hProcess6"/>
    <dgm:cxn modelId="{5BD2A087-FAE9-421B-B4D4-25EA24487E54}" type="presParOf" srcId="{A0A5F35D-74F5-4845-AB19-8C6CE874A48E}" destId="{CFC8CA27-EC1B-448A-B6AA-D57A56D04831}" srcOrd="3" destOrd="0" presId="urn:microsoft.com/office/officeart/2005/8/layout/hProcess6"/>
    <dgm:cxn modelId="{E2C7A729-4708-4C53-8652-E6FDD35F3CE4}" type="presParOf" srcId="{C735ACDB-5D60-4256-85FB-F130B21155C9}" destId="{9969D7E9-E1CB-43CD-9E2A-CD5C088AEB8D}" srcOrd="3" destOrd="0" presId="urn:microsoft.com/office/officeart/2005/8/layout/hProcess6"/>
    <dgm:cxn modelId="{F37CD55D-B557-4A76-AA06-C75DDCB42B4D}" type="presParOf" srcId="{C735ACDB-5D60-4256-85FB-F130B21155C9}" destId="{9807CB5A-0B89-4CF1-9054-7E2CC9A3F5B5}" srcOrd="4" destOrd="0" presId="urn:microsoft.com/office/officeart/2005/8/layout/hProcess6"/>
    <dgm:cxn modelId="{87424AB3-D627-41D1-9DC6-735D518A64A7}" type="presParOf" srcId="{9807CB5A-0B89-4CF1-9054-7E2CC9A3F5B5}" destId="{45566620-126E-4B37-8228-FF2D12BFA4FC}" srcOrd="0" destOrd="0" presId="urn:microsoft.com/office/officeart/2005/8/layout/hProcess6"/>
    <dgm:cxn modelId="{520D92BB-6099-4DD0-BCAE-F7118F874824}" type="presParOf" srcId="{9807CB5A-0B89-4CF1-9054-7E2CC9A3F5B5}" destId="{ED846E7F-E257-4A06-A935-D2BC4F3319FB}" srcOrd="1" destOrd="0" presId="urn:microsoft.com/office/officeart/2005/8/layout/hProcess6"/>
    <dgm:cxn modelId="{548F8E28-57DB-451C-82A4-73EC866159A6}" type="presParOf" srcId="{9807CB5A-0B89-4CF1-9054-7E2CC9A3F5B5}" destId="{1C316A19-7BC6-473C-AA7F-6C7EFA4B98BB}" srcOrd="2" destOrd="0" presId="urn:microsoft.com/office/officeart/2005/8/layout/hProcess6"/>
    <dgm:cxn modelId="{CC77FEF8-7B9F-47B4-B1DC-8A9DB0AB0EF0}" type="presParOf" srcId="{9807CB5A-0B89-4CF1-9054-7E2CC9A3F5B5}" destId="{967EB4E8-6F7C-4031-9AF2-1D376E4A0184}" srcOrd="3" destOrd="0" presId="urn:microsoft.com/office/officeart/2005/8/layout/hProcess6"/>
    <dgm:cxn modelId="{C8ACE242-6EB9-4A83-9BEC-104E6F6796AF}" type="presParOf" srcId="{C735ACDB-5D60-4256-85FB-F130B21155C9}" destId="{AA927390-DE91-41F0-AB44-715E5E0793D6}" srcOrd="5" destOrd="0" presId="urn:microsoft.com/office/officeart/2005/8/layout/hProcess6"/>
    <dgm:cxn modelId="{159BE8B0-E364-427F-8435-93470E7BAEAD}" type="presParOf" srcId="{C735ACDB-5D60-4256-85FB-F130B21155C9}" destId="{B74B91F1-4C0C-4D0E-B67A-318342C0B107}" srcOrd="6" destOrd="0" presId="urn:microsoft.com/office/officeart/2005/8/layout/hProcess6"/>
    <dgm:cxn modelId="{6D0DD422-2DA7-4C45-A124-3AA5AEE6435E}" type="presParOf" srcId="{B74B91F1-4C0C-4D0E-B67A-318342C0B107}" destId="{9EF95CE1-F58F-458A-869F-779C43B31BB2}" srcOrd="0" destOrd="0" presId="urn:microsoft.com/office/officeart/2005/8/layout/hProcess6"/>
    <dgm:cxn modelId="{BEF77387-6C81-4D41-ACCD-57FDEA67EBB4}" type="presParOf" srcId="{B74B91F1-4C0C-4D0E-B67A-318342C0B107}" destId="{B9408D63-B495-4385-9783-3161ED9A2FC0}" srcOrd="1" destOrd="0" presId="urn:microsoft.com/office/officeart/2005/8/layout/hProcess6"/>
    <dgm:cxn modelId="{E72FA7E7-5BAE-49EB-8C55-0570CFF5C16E}" type="presParOf" srcId="{B74B91F1-4C0C-4D0E-B67A-318342C0B107}" destId="{A4DA6CD4-D1A8-43B0-BBBF-05D7AE856589}" srcOrd="2" destOrd="0" presId="urn:microsoft.com/office/officeart/2005/8/layout/hProcess6"/>
    <dgm:cxn modelId="{4D3BE008-9B2C-44D2-B89B-E84C1BEA57B3}" type="presParOf" srcId="{B74B91F1-4C0C-4D0E-B67A-318342C0B107}" destId="{570B2693-4769-4D76-8AED-758A521E1318}" srcOrd="3" destOrd="0" presId="urn:microsoft.com/office/officeart/2005/8/layout/hProcess6"/>
    <dgm:cxn modelId="{BB419FDE-0183-4841-ADEA-F437F9E01E2A}" type="presParOf" srcId="{C735ACDB-5D60-4256-85FB-F130B21155C9}" destId="{147895D1-566B-41D1-845D-C4EB577635E6}" srcOrd="7" destOrd="0" presId="urn:microsoft.com/office/officeart/2005/8/layout/hProcess6"/>
    <dgm:cxn modelId="{818DD099-779A-4E6F-8153-90FAF954CEDD}" type="presParOf" srcId="{C735ACDB-5D60-4256-85FB-F130B21155C9}" destId="{8320B70D-C047-42DE-BC95-03DA2712AD39}" srcOrd="8" destOrd="0" presId="urn:microsoft.com/office/officeart/2005/8/layout/hProcess6"/>
    <dgm:cxn modelId="{5E6F0E82-9DA2-48B8-A2D8-BD94FDA41388}" type="presParOf" srcId="{8320B70D-C047-42DE-BC95-03DA2712AD39}" destId="{036A0C80-564D-4368-9B65-1591B32CF601}" srcOrd="0" destOrd="0" presId="urn:microsoft.com/office/officeart/2005/8/layout/hProcess6"/>
    <dgm:cxn modelId="{4C3D939B-99E5-4E30-963C-6F8BBAE60A97}" type="presParOf" srcId="{8320B70D-C047-42DE-BC95-03DA2712AD39}" destId="{BCA716E6-6C10-4545-9275-F7E91861D552}" srcOrd="1" destOrd="0" presId="urn:microsoft.com/office/officeart/2005/8/layout/hProcess6"/>
    <dgm:cxn modelId="{97F7AF31-7E72-4CBA-9075-D4C0E3BB02EF}" type="presParOf" srcId="{8320B70D-C047-42DE-BC95-03DA2712AD39}" destId="{26598475-F304-4356-9E97-1DC2262CBF7F}" srcOrd="2" destOrd="0" presId="urn:microsoft.com/office/officeart/2005/8/layout/hProcess6"/>
    <dgm:cxn modelId="{5013D95B-C028-4531-B23A-B0AADB791796}" type="presParOf" srcId="{8320B70D-C047-42DE-BC95-03DA2712AD39}" destId="{34970005-2BEC-4A76-9794-D1CCC1A73481}" srcOrd="3" destOrd="0" presId="urn:microsoft.com/office/officeart/2005/8/layout/hProcess6"/>
    <dgm:cxn modelId="{4033F038-C72A-4939-A051-C1757389818E}" type="presParOf" srcId="{C735ACDB-5D60-4256-85FB-F130B21155C9}" destId="{707A30C5-FC4D-42BB-93E5-21E0E6238E76}" srcOrd="9" destOrd="0" presId="urn:microsoft.com/office/officeart/2005/8/layout/hProcess6"/>
    <dgm:cxn modelId="{EE3972B2-4BED-4F44-9CEB-D076F8C245F4}" type="presParOf" srcId="{C735ACDB-5D60-4256-85FB-F130B21155C9}" destId="{FDEE74FD-686B-4447-94B5-C15D3FA108BF}" srcOrd="10" destOrd="0" presId="urn:microsoft.com/office/officeart/2005/8/layout/hProcess6"/>
    <dgm:cxn modelId="{BF5222CD-9CA6-46E8-BCDB-FD3B9F97CE22}" type="presParOf" srcId="{FDEE74FD-686B-4447-94B5-C15D3FA108BF}" destId="{ECB8DEC8-02E7-4CA5-8723-EB07C2BE266C}" srcOrd="0" destOrd="0" presId="urn:microsoft.com/office/officeart/2005/8/layout/hProcess6"/>
    <dgm:cxn modelId="{2C071E11-0819-4F8D-9F87-2B7514EA3D98}" type="presParOf" srcId="{FDEE74FD-686B-4447-94B5-C15D3FA108BF}" destId="{3454729F-6C0B-442D-9688-2506A11EE80A}" srcOrd="1" destOrd="0" presId="urn:microsoft.com/office/officeart/2005/8/layout/hProcess6"/>
    <dgm:cxn modelId="{C27F9694-04D2-45DF-AC58-6CE47CFD6CFD}" type="presParOf" srcId="{FDEE74FD-686B-4447-94B5-C15D3FA108BF}" destId="{118D57C5-DF27-4D57-B858-4BAE303890CB}" srcOrd="2" destOrd="0" presId="urn:microsoft.com/office/officeart/2005/8/layout/hProcess6"/>
    <dgm:cxn modelId="{2C3C3AFE-F1F1-431E-A6E1-F5F364B06902}" type="presParOf" srcId="{FDEE74FD-686B-4447-94B5-C15D3FA108BF}" destId="{C4F8D61A-2ED5-4436-B7B6-514C27BBBE2A}" srcOrd="3" destOrd="0" presId="urn:microsoft.com/office/officeart/2005/8/layout/hProcess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DCE0AD-723F-4729-A675-70AEBFC5F7B4}">
      <dsp:nvSpPr>
        <dsp:cNvPr id="0" name=""/>
        <dsp:cNvSpPr/>
      </dsp:nvSpPr>
      <dsp:spPr>
        <a:xfrm>
          <a:off x="321327" y="159586"/>
          <a:ext cx="655988" cy="59522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r" defTabSz="311150">
            <a:lnSpc>
              <a:spcPct val="90000"/>
            </a:lnSpc>
            <a:spcBef>
              <a:spcPct val="0"/>
            </a:spcBef>
            <a:spcAft>
              <a:spcPct val="35000"/>
            </a:spcAft>
            <a:buNone/>
          </a:pPr>
          <a:r>
            <a:rPr lang="pt-BR" sz="700" kern="1200"/>
            <a:t>Seleção</a:t>
          </a:r>
          <a:endParaRPr lang="pt-BR" sz="500" kern="1200"/>
        </a:p>
      </dsp:txBody>
      <dsp:txXfrm>
        <a:off x="485324" y="248870"/>
        <a:ext cx="319794" cy="416659"/>
      </dsp:txXfrm>
    </dsp:sp>
    <dsp:sp modelId="{A77191C6-B1AE-4046-B825-578D30F3BB6F}">
      <dsp:nvSpPr>
        <dsp:cNvPr id="0" name=""/>
        <dsp:cNvSpPr/>
      </dsp:nvSpPr>
      <dsp:spPr>
        <a:xfrm>
          <a:off x="0" y="210004"/>
          <a:ext cx="503366" cy="4943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kern="1200"/>
            <a:t>Dados Brutos</a:t>
          </a:r>
        </a:p>
      </dsp:txBody>
      <dsp:txXfrm>
        <a:off x="73716" y="282406"/>
        <a:ext cx="355934" cy="349586"/>
      </dsp:txXfrm>
    </dsp:sp>
    <dsp:sp modelId="{1D86144F-C024-4CF0-B0B1-1753E298640E}">
      <dsp:nvSpPr>
        <dsp:cNvPr id="0" name=""/>
        <dsp:cNvSpPr/>
      </dsp:nvSpPr>
      <dsp:spPr>
        <a:xfrm>
          <a:off x="1127171" y="159586"/>
          <a:ext cx="729701" cy="59522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r" defTabSz="311150">
            <a:lnSpc>
              <a:spcPct val="90000"/>
            </a:lnSpc>
            <a:spcBef>
              <a:spcPct val="0"/>
            </a:spcBef>
            <a:spcAft>
              <a:spcPct val="35000"/>
            </a:spcAft>
            <a:buNone/>
          </a:pPr>
          <a:r>
            <a:rPr lang="pt-BR" sz="700" kern="1200"/>
            <a:t>Pré-processamento</a:t>
          </a:r>
        </a:p>
      </dsp:txBody>
      <dsp:txXfrm>
        <a:off x="1309596" y="248870"/>
        <a:ext cx="355729" cy="416659"/>
      </dsp:txXfrm>
    </dsp:sp>
    <dsp:sp modelId="{CFC8CA27-EC1B-448A-B6AA-D57A56D04831}">
      <dsp:nvSpPr>
        <dsp:cNvPr id="0" name=""/>
        <dsp:cNvSpPr/>
      </dsp:nvSpPr>
      <dsp:spPr>
        <a:xfrm>
          <a:off x="848032" y="209039"/>
          <a:ext cx="467523" cy="4963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kern="1200"/>
            <a:t>Dados Alvo</a:t>
          </a:r>
        </a:p>
      </dsp:txBody>
      <dsp:txXfrm>
        <a:off x="916499" y="281724"/>
        <a:ext cx="330589" cy="350951"/>
      </dsp:txXfrm>
    </dsp:sp>
    <dsp:sp modelId="{ED846E7F-E257-4A06-A935-D2BC4F3319FB}">
      <dsp:nvSpPr>
        <dsp:cNvPr id="0" name=""/>
        <dsp:cNvSpPr/>
      </dsp:nvSpPr>
      <dsp:spPr>
        <a:xfrm>
          <a:off x="2058489" y="169207"/>
          <a:ext cx="740592" cy="575985"/>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r" defTabSz="311150">
            <a:lnSpc>
              <a:spcPct val="90000"/>
            </a:lnSpc>
            <a:spcBef>
              <a:spcPct val="0"/>
            </a:spcBef>
            <a:spcAft>
              <a:spcPct val="35000"/>
            </a:spcAft>
            <a:buNone/>
          </a:pPr>
          <a:r>
            <a:rPr lang="pt-BR" sz="700" kern="1200"/>
            <a:t>Transformação</a:t>
          </a:r>
          <a:endParaRPr lang="pt-BR" sz="500" kern="1200"/>
        </a:p>
      </dsp:txBody>
      <dsp:txXfrm>
        <a:off x="2243638" y="255605"/>
        <a:ext cx="361039" cy="403189"/>
      </dsp:txXfrm>
    </dsp:sp>
    <dsp:sp modelId="{967EB4E8-6F7C-4031-9AF2-1D376E4A0184}">
      <dsp:nvSpPr>
        <dsp:cNvPr id="0" name=""/>
        <dsp:cNvSpPr/>
      </dsp:nvSpPr>
      <dsp:spPr>
        <a:xfrm>
          <a:off x="1763202" y="213793"/>
          <a:ext cx="505137" cy="48681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kern="1200"/>
            <a:t>Dados pré-processados</a:t>
          </a:r>
        </a:p>
      </dsp:txBody>
      <dsp:txXfrm>
        <a:off x="1837178" y="285085"/>
        <a:ext cx="357185" cy="344229"/>
      </dsp:txXfrm>
    </dsp:sp>
    <dsp:sp modelId="{B9408D63-B495-4385-9783-3161ED9A2FC0}">
      <dsp:nvSpPr>
        <dsp:cNvPr id="0" name=""/>
        <dsp:cNvSpPr/>
      </dsp:nvSpPr>
      <dsp:spPr>
        <a:xfrm>
          <a:off x="2933105" y="152101"/>
          <a:ext cx="865303" cy="610196"/>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r" defTabSz="311150">
            <a:lnSpc>
              <a:spcPct val="90000"/>
            </a:lnSpc>
            <a:spcBef>
              <a:spcPct val="0"/>
            </a:spcBef>
            <a:spcAft>
              <a:spcPct val="35000"/>
            </a:spcAft>
            <a:buNone/>
          </a:pPr>
          <a:r>
            <a:rPr lang="pt-BR" sz="700" kern="1200"/>
            <a:t>Mineração de dados</a:t>
          </a:r>
        </a:p>
      </dsp:txBody>
      <dsp:txXfrm>
        <a:off x="3149431" y="243630"/>
        <a:ext cx="435408" cy="427138"/>
      </dsp:txXfrm>
    </dsp:sp>
    <dsp:sp modelId="{570B2693-4769-4D76-8AED-758A521E1318}">
      <dsp:nvSpPr>
        <dsp:cNvPr id="0" name=""/>
        <dsp:cNvSpPr/>
      </dsp:nvSpPr>
      <dsp:spPr>
        <a:xfrm>
          <a:off x="2702827" y="236957"/>
          <a:ext cx="477293" cy="44048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kern="1200"/>
            <a:t>Dados transformados</a:t>
          </a:r>
        </a:p>
      </dsp:txBody>
      <dsp:txXfrm>
        <a:off x="2772725" y="301464"/>
        <a:ext cx="337497" cy="311470"/>
      </dsp:txXfrm>
    </dsp:sp>
    <dsp:sp modelId="{BCA716E6-6C10-4545-9275-F7E91861D552}">
      <dsp:nvSpPr>
        <dsp:cNvPr id="0" name=""/>
        <dsp:cNvSpPr/>
      </dsp:nvSpPr>
      <dsp:spPr>
        <a:xfrm>
          <a:off x="3984764" y="177762"/>
          <a:ext cx="838261" cy="558875"/>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0" lvl="0" indent="0" algn="r" defTabSz="311150">
            <a:lnSpc>
              <a:spcPct val="90000"/>
            </a:lnSpc>
            <a:spcBef>
              <a:spcPct val="0"/>
            </a:spcBef>
            <a:spcAft>
              <a:spcPts val="0"/>
            </a:spcAft>
            <a:buNone/>
          </a:pPr>
          <a:r>
            <a:rPr lang="pt-BR" sz="700" kern="1200"/>
            <a:t>Avaliação/ interpreta</a:t>
          </a:r>
        </a:p>
        <a:p>
          <a:pPr marL="0" lvl="0" indent="0" algn="r" defTabSz="311150">
            <a:lnSpc>
              <a:spcPct val="90000"/>
            </a:lnSpc>
            <a:spcBef>
              <a:spcPct val="0"/>
            </a:spcBef>
            <a:spcAft>
              <a:spcPct val="35000"/>
            </a:spcAft>
            <a:buNone/>
          </a:pPr>
          <a:r>
            <a:rPr lang="pt-BR" sz="700" kern="1200"/>
            <a:t>ção</a:t>
          </a:r>
        </a:p>
      </dsp:txBody>
      <dsp:txXfrm>
        <a:off x="4194330" y="261593"/>
        <a:ext cx="433090" cy="391213"/>
      </dsp:txXfrm>
    </dsp:sp>
    <dsp:sp modelId="{34970005-2BEC-4A76-9794-D1CCC1A73481}">
      <dsp:nvSpPr>
        <dsp:cNvPr id="0" name=""/>
        <dsp:cNvSpPr/>
      </dsp:nvSpPr>
      <dsp:spPr>
        <a:xfrm>
          <a:off x="3711368" y="216938"/>
          <a:ext cx="460244" cy="48052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kern="1200"/>
            <a:t>Padrões</a:t>
          </a:r>
        </a:p>
      </dsp:txBody>
      <dsp:txXfrm>
        <a:off x="3778769" y="287309"/>
        <a:ext cx="325442" cy="339781"/>
      </dsp:txXfrm>
    </dsp:sp>
    <dsp:sp modelId="{3454729F-6C0B-442D-9688-2506A11EE80A}">
      <dsp:nvSpPr>
        <dsp:cNvPr id="0" name=""/>
        <dsp:cNvSpPr/>
      </dsp:nvSpPr>
      <dsp:spPr>
        <a:xfrm>
          <a:off x="5203225" y="130078"/>
          <a:ext cx="563128" cy="654242"/>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F8D61A-2ED5-4436-B7B6-514C27BBBE2A}">
      <dsp:nvSpPr>
        <dsp:cNvPr id="0" name=""/>
        <dsp:cNvSpPr/>
      </dsp:nvSpPr>
      <dsp:spPr>
        <a:xfrm>
          <a:off x="4771156" y="139002"/>
          <a:ext cx="995278" cy="60354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Conhecimento</a:t>
          </a:r>
          <a:endParaRPr lang="pt-BR" sz="700" kern="1200"/>
        </a:p>
      </dsp:txBody>
      <dsp:txXfrm>
        <a:off x="4916911" y="227389"/>
        <a:ext cx="703768" cy="42677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2257-2EA4-4743-A991-3570DD6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6900</Words>
  <Characters>37261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Rosane Almeida Ladeira</dc:creator>
  <cp:keywords/>
  <dc:description/>
  <cp:lastModifiedBy>Gilson Marinho</cp:lastModifiedBy>
  <cp:revision>38</cp:revision>
  <cp:lastPrinted>2022-11-09T13:57:00Z</cp:lastPrinted>
  <dcterms:created xsi:type="dcterms:W3CDTF">2022-11-09T13:39:00Z</dcterms:created>
  <dcterms:modified xsi:type="dcterms:W3CDTF">2022-11-09T16:32:00Z</dcterms:modified>
</cp:coreProperties>
</file>