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0" w:left="0" w:firstLine="709"/>
        <w:jc w:val="center"/>
        <w:rPr>
          <w:rFonts w:ascii="Times New Roman" w:hAnsi="Times New Roman" w:cs="Times New Roman" w:eastAsia="Times New Roman"/>
          <w:b/>
          <w:color w:val="000000"/>
          <w:spacing w:val="0"/>
          <w:position w:val="0"/>
          <w:sz w:val="28"/>
          <w:shd w:fill="auto" w:val="clear"/>
        </w:rPr>
      </w:pPr>
    </w:p>
    <w:p>
      <w:pPr>
        <w:spacing w:before="0" w:after="160" w:line="259"/>
        <w:ind w:right="0" w:left="0" w:firstLine="709"/>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8"/>
          <w:shd w:fill="auto" w:val="clear"/>
        </w:rPr>
        <w:t xml:space="preserve">ANGÉLICA SANTANA DO NASCIMENTO</w:t>
      </w: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DETERMINAÇÃO PRELIMINAR DA CONCENTRAÇÃO DE METAIS </w:t>
      </w: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PESADOS EM SEDIMENTOS DA REGIÃO NORTE DA BAÍA SEPETIBA, RJ, BRASIL.</w:t>
      </w:r>
    </w:p>
    <w:p>
      <w:pPr>
        <w:spacing w:before="0" w:after="160" w:line="259"/>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left"/>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left"/>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MACAÉ - RJ</w:t>
      </w:r>
    </w:p>
    <w:p>
      <w:pPr>
        <w:spacing w:before="0" w:after="160" w:line="259"/>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2019</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center"/>
        <w:rPr>
          <w:rFonts w:ascii="Times New Roman" w:hAnsi="Times New Roman" w:cs="Times New Roman" w:eastAsia="Times New Roman"/>
          <w:b/>
          <w:color w:val="000000"/>
          <w:spacing w:val="0"/>
          <w:position w:val="0"/>
          <w:sz w:val="28"/>
          <w:shd w:fill="auto" w:val="clear"/>
        </w:rPr>
      </w:pPr>
    </w:p>
    <w:p>
      <w:pPr>
        <w:spacing w:before="0" w:after="160" w:line="259"/>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ANGÉLICA SANTANA DO NASCIMENTO</w:t>
      </w: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48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480"/>
        <w:ind w:right="0" w:left="0" w:firstLine="0"/>
        <w:jc w:val="left"/>
        <w:rPr>
          <w:rFonts w:ascii="Times New Roman" w:hAnsi="Times New Roman" w:cs="Times New Roman" w:eastAsia="Times New Roman"/>
          <w:b/>
          <w:color w:val="000000"/>
          <w:spacing w:val="0"/>
          <w:position w:val="0"/>
          <w:sz w:val="24"/>
          <w:shd w:fill="auto" w:val="clear"/>
        </w:rPr>
      </w:pPr>
    </w:p>
    <w:p>
      <w:pPr>
        <w:spacing w:before="0" w:after="0" w:line="48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48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DETERMINAÇÃO PRELIMINAR DA CONCENTRAÇÃO DE METAIS </w:t>
      </w: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4"/>
          <w:shd w:fill="auto" w:val="clear"/>
        </w:rPr>
        <w:t xml:space="preserve">PESADOS EM SEDIMENTOS DA REGIÃO NORTE DA BAÍA SEPETIBA, RJ, BRASIL</w:t>
      </w:r>
      <w:r>
        <w:rPr>
          <w:rFonts w:ascii="Times New Roman" w:hAnsi="Times New Roman" w:cs="Times New Roman" w:eastAsia="Times New Roman"/>
          <w:b/>
          <w:color w:val="000000"/>
          <w:spacing w:val="0"/>
          <w:position w:val="0"/>
          <w:sz w:val="28"/>
          <w:shd w:fill="auto" w:val="clear"/>
        </w:rPr>
        <w:t xml:space="preserve">.</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auto"/>
          <w:spacing w:val="0"/>
          <w:position w:val="0"/>
          <w:sz w:val="24"/>
          <w:shd w:fill="auto" w:val="clear"/>
        </w:rPr>
      </w:pPr>
    </w:p>
    <w:p>
      <w:pPr>
        <w:spacing w:before="0" w:after="160" w:line="360"/>
        <w:ind w:right="0" w:left="4536"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Trabalho de Conclusão de Curso apresentado à Universidade Federal do Rio de Janeiro - Campus Macaé, como parte das exigências para a obtenção do título de Bacharel em Química.</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6"/>
        <w:ind w:right="0" w:left="4536"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Orientador:</w:t>
      </w:r>
      <w:r>
        <w:rPr>
          <w:rFonts w:ascii="Times New Roman" w:hAnsi="Times New Roman" w:cs="Times New Roman" w:eastAsia="Times New Roman"/>
          <w:color w:val="auto"/>
          <w:spacing w:val="0"/>
          <w:position w:val="0"/>
          <w:sz w:val="24"/>
          <w:shd w:fill="auto" w:val="clear"/>
        </w:rPr>
        <w:t xml:space="preserve"> Prof. Dr. Fernando Armani Aguiar</w:t>
      </w:r>
    </w:p>
    <w:p>
      <w:pPr>
        <w:spacing w:before="0" w:after="0" w:line="276"/>
        <w:ind w:right="0" w:left="4536"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Co-orientadora:</w:t>
      </w:r>
      <w:r>
        <w:rPr>
          <w:rFonts w:ascii="Times New Roman" w:hAnsi="Times New Roman" w:cs="Times New Roman" w:eastAsia="Times New Roman"/>
          <w:color w:val="auto"/>
          <w:spacing w:val="0"/>
          <w:position w:val="0"/>
          <w:sz w:val="24"/>
          <w:shd w:fill="auto" w:val="clear"/>
        </w:rPr>
        <w:t xml:space="preserve"> Dra. Fernanda Freyesleben Thomazelli</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MACAÉ - RJ</w:t>
      </w:r>
    </w:p>
    <w:p>
      <w:pPr>
        <w:spacing w:before="0" w:after="160" w:line="259"/>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2019</w:t>
      </w:r>
    </w:p>
    <w:p>
      <w:pPr>
        <w:spacing w:before="0" w:after="160" w:line="259"/>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160" w:line="259"/>
        <w:ind w:right="0" w:left="0" w:firstLine="0"/>
        <w:jc w:val="center"/>
        <w:rPr>
          <w:rFonts w:ascii="Times New Roman" w:hAnsi="Times New Roman" w:cs="Times New Roman" w:eastAsia="Times New Roman"/>
          <w:b/>
          <w:color w:val="000000"/>
          <w:spacing w:val="0"/>
          <w:position w:val="0"/>
          <w:sz w:val="28"/>
          <w:shd w:fill="auto" w:val="clear"/>
        </w:rPr>
      </w:pPr>
    </w:p>
    <w:p>
      <w:pPr>
        <w:spacing w:before="0" w:after="160" w:line="259"/>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ANGÉLICA SANTANA DO NASCIMENTO</w:t>
      </w:r>
    </w:p>
    <w:p>
      <w:pPr>
        <w:spacing w:before="0" w:after="160" w:line="259"/>
        <w:ind w:right="0" w:left="0" w:firstLine="0"/>
        <w:jc w:val="center"/>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48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48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DETERMINAÇÃO PRELIMINAR DA CONCENTRAÇÃO DE METAIS </w:t>
      </w: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PESADOS EM SEDIMENTOS DA REGIÃO NORTE DA BAÍA SEPETIBA, RJ, BRASIL.</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4536"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Trabalho de Conclusão de Curso apresentado à Universidade Federal do Rio de Janeiro - Campus Macaé, como parte das exigências para a obtenção do título de Bacharel em Química.</w:t>
      </w:r>
    </w:p>
    <w:p>
      <w:pPr>
        <w:spacing w:before="0" w:after="160" w:line="259"/>
        <w:ind w:right="0" w:left="0" w:firstLine="0"/>
        <w:jc w:val="center"/>
        <w:rPr>
          <w:rFonts w:ascii="Times New Roman" w:hAnsi="Times New Roman" w:cs="Times New Roman" w:eastAsia="Times New Roman"/>
          <w:b/>
          <w:color w:val="000000"/>
          <w:spacing w:val="0"/>
          <w:position w:val="0"/>
          <w:sz w:val="24"/>
          <w:shd w:fill="auto" w:val="clear"/>
        </w:rPr>
      </w:pPr>
    </w:p>
    <w:p>
      <w:pPr>
        <w:tabs>
          <w:tab w:val="left" w:pos="4022" w:leader="none"/>
        </w:tabs>
        <w:spacing w:before="0" w:after="120" w:line="259"/>
        <w:ind w:right="0" w:left="0" w:firstLine="0"/>
        <w:jc w:val="left"/>
        <w:rPr>
          <w:rFonts w:ascii="Times New Roman" w:hAnsi="Times New Roman" w:cs="Times New Roman" w:eastAsia="Times New Roman"/>
          <w:color w:val="auto"/>
          <w:spacing w:val="0"/>
          <w:position w:val="0"/>
          <w:sz w:val="24"/>
          <w:shd w:fill="auto" w:val="clear"/>
        </w:rPr>
      </w:pPr>
    </w:p>
    <w:p>
      <w:pPr>
        <w:tabs>
          <w:tab w:val="left" w:pos="4022" w:leader="none"/>
        </w:tabs>
        <w:spacing w:before="0" w:after="120" w:line="259"/>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Aprovada em: ____ / ____ / ________</w:t>
      </w:r>
    </w:p>
    <w:p>
      <w:pPr>
        <w:tabs>
          <w:tab w:val="left" w:pos="4022" w:leader="none"/>
        </w:tabs>
        <w:spacing w:before="0" w:after="120" w:line="259"/>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Comissão Examinadora:</w:t>
      </w:r>
    </w:p>
    <w:p>
      <w:pPr>
        <w:tabs>
          <w:tab w:val="left" w:pos="4022" w:leader="none"/>
        </w:tabs>
        <w:spacing w:before="0" w:after="120" w:line="259"/>
        <w:ind w:right="0" w:left="0" w:firstLine="0"/>
        <w:jc w:val="left"/>
        <w:rPr>
          <w:rFonts w:ascii="Times New Roman" w:hAnsi="Times New Roman" w:cs="Times New Roman" w:eastAsia="Times New Roman"/>
          <w:color w:val="auto"/>
          <w:spacing w:val="0"/>
          <w:position w:val="0"/>
          <w:sz w:val="24"/>
          <w:shd w:fill="auto" w:val="clear"/>
        </w:rPr>
      </w:pPr>
    </w:p>
    <w:p>
      <w:pPr>
        <w:tabs>
          <w:tab w:val="left" w:pos="4022" w:leader="none"/>
        </w:tabs>
        <w:spacing w:before="0" w:after="120" w:line="259"/>
        <w:ind w:right="0" w:left="0" w:firstLine="0"/>
        <w:jc w:val="left"/>
        <w:rPr>
          <w:rFonts w:ascii="Times New Roman" w:hAnsi="Times New Roman" w:cs="Times New Roman" w:eastAsia="Times New Roman"/>
          <w:color w:val="auto"/>
          <w:spacing w:val="0"/>
          <w:position w:val="0"/>
          <w:sz w:val="24"/>
          <w:shd w:fill="auto" w:val="clear"/>
        </w:rPr>
      </w:pPr>
    </w:p>
    <w:p>
      <w:pPr>
        <w:tabs>
          <w:tab w:val="left" w:pos="4022"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___________________________________________________</w:t>
      </w:r>
    </w:p>
    <w:p>
      <w:pPr>
        <w:tabs>
          <w:tab w:val="left" w:pos="4022" w:leader="none"/>
        </w:tabs>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Prof. Dr. Fernando Armani Aguiar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Orientador</w:t>
      </w:r>
    </w:p>
    <w:p>
      <w:pPr>
        <w:tabs>
          <w:tab w:val="left" w:pos="4022" w:leader="none"/>
        </w:tabs>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Universidade Federal do Rio de Janeiro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Campus Maca</w:t>
      </w:r>
      <w:r>
        <w:rPr>
          <w:rFonts w:ascii="Times New Roman" w:hAnsi="Times New Roman" w:cs="Times New Roman" w:eastAsia="Times New Roman"/>
          <w:color w:val="auto"/>
          <w:spacing w:val="0"/>
          <w:position w:val="0"/>
          <w:sz w:val="22"/>
          <w:shd w:fill="auto" w:val="clear"/>
        </w:rPr>
        <w:t xml:space="preserve">é</w:t>
      </w:r>
    </w:p>
    <w:p>
      <w:pPr>
        <w:tabs>
          <w:tab w:val="left" w:pos="4022" w:leader="none"/>
        </w:tabs>
        <w:spacing w:before="0" w:after="120" w:line="259"/>
        <w:ind w:right="0" w:left="0" w:firstLine="0"/>
        <w:jc w:val="center"/>
        <w:rPr>
          <w:rFonts w:ascii="Times New Roman" w:hAnsi="Times New Roman" w:cs="Times New Roman" w:eastAsia="Times New Roman"/>
          <w:color w:val="auto"/>
          <w:spacing w:val="0"/>
          <w:position w:val="0"/>
          <w:sz w:val="24"/>
          <w:shd w:fill="auto" w:val="clear"/>
        </w:rPr>
      </w:pPr>
    </w:p>
    <w:p>
      <w:pPr>
        <w:tabs>
          <w:tab w:val="left" w:pos="4022" w:leader="none"/>
        </w:tabs>
        <w:spacing w:before="0" w:after="120" w:line="259"/>
        <w:ind w:right="0" w:left="0" w:firstLine="0"/>
        <w:jc w:val="center"/>
        <w:rPr>
          <w:rFonts w:ascii="Times New Roman" w:hAnsi="Times New Roman" w:cs="Times New Roman" w:eastAsia="Times New Roman"/>
          <w:color w:val="auto"/>
          <w:spacing w:val="0"/>
          <w:position w:val="0"/>
          <w:sz w:val="24"/>
          <w:shd w:fill="auto" w:val="clear"/>
        </w:rPr>
      </w:pPr>
    </w:p>
    <w:p>
      <w:pPr>
        <w:tabs>
          <w:tab w:val="left" w:pos="4022"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___________________________________________________</w:t>
      </w:r>
    </w:p>
    <w:p>
      <w:pPr>
        <w:tabs>
          <w:tab w:val="left" w:pos="4022" w:leader="none"/>
        </w:tabs>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Prof. Dr. Maurício Mussi Molisani </w:t>
      </w:r>
    </w:p>
    <w:p>
      <w:pPr>
        <w:tabs>
          <w:tab w:val="left" w:pos="4022" w:leader="none"/>
        </w:tabs>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Universidade Federal do Rio de Janeiro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Campus Maca</w:t>
      </w:r>
      <w:r>
        <w:rPr>
          <w:rFonts w:ascii="Times New Roman" w:hAnsi="Times New Roman" w:cs="Times New Roman" w:eastAsia="Times New Roman"/>
          <w:color w:val="auto"/>
          <w:spacing w:val="0"/>
          <w:position w:val="0"/>
          <w:sz w:val="22"/>
          <w:shd w:fill="auto" w:val="clear"/>
        </w:rPr>
        <w:t xml:space="preserve">é</w:t>
      </w:r>
    </w:p>
    <w:p>
      <w:pPr>
        <w:tabs>
          <w:tab w:val="left" w:pos="4022" w:leader="none"/>
        </w:tabs>
        <w:spacing w:before="0" w:after="120" w:line="259"/>
        <w:ind w:right="0" w:left="0" w:firstLine="0"/>
        <w:jc w:val="center"/>
        <w:rPr>
          <w:rFonts w:ascii="Times New Roman" w:hAnsi="Times New Roman" w:cs="Times New Roman" w:eastAsia="Times New Roman"/>
          <w:color w:val="auto"/>
          <w:spacing w:val="0"/>
          <w:position w:val="0"/>
          <w:sz w:val="24"/>
          <w:shd w:fill="auto" w:val="clear"/>
        </w:rPr>
      </w:pPr>
    </w:p>
    <w:p>
      <w:pPr>
        <w:tabs>
          <w:tab w:val="left" w:pos="4022" w:leader="none"/>
        </w:tabs>
        <w:spacing w:before="0" w:after="120" w:line="259"/>
        <w:ind w:right="0" w:left="0" w:firstLine="0"/>
        <w:jc w:val="center"/>
        <w:rPr>
          <w:rFonts w:ascii="Times New Roman" w:hAnsi="Times New Roman" w:cs="Times New Roman" w:eastAsia="Times New Roman"/>
          <w:color w:val="auto"/>
          <w:spacing w:val="0"/>
          <w:position w:val="0"/>
          <w:sz w:val="24"/>
          <w:shd w:fill="auto" w:val="clear"/>
        </w:rPr>
      </w:pPr>
    </w:p>
    <w:p>
      <w:pPr>
        <w:tabs>
          <w:tab w:val="left" w:pos="4022"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___________________________________________________</w:t>
      </w:r>
    </w:p>
    <w:p>
      <w:pPr>
        <w:tabs>
          <w:tab w:val="left" w:pos="4022" w:leader="none"/>
        </w:tabs>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Prof. Dr. Rodrigo de Siqueira Melo</w:t>
      </w:r>
    </w:p>
    <w:p>
      <w:pPr>
        <w:tabs>
          <w:tab w:val="left" w:pos="4022" w:leader="none"/>
        </w:tabs>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Universidade Federal do Rio de Janeiro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Campus Maca</w:t>
      </w:r>
      <w:r>
        <w:rPr>
          <w:rFonts w:ascii="Times New Roman" w:hAnsi="Times New Roman" w:cs="Times New Roman" w:eastAsia="Times New Roman"/>
          <w:color w:val="auto"/>
          <w:spacing w:val="0"/>
          <w:position w:val="0"/>
          <w:sz w:val="22"/>
          <w:shd w:fill="auto" w:val="clear"/>
        </w:rPr>
        <w:t xml:space="preserve">é</w:t>
      </w:r>
    </w:p>
    <w:p>
      <w:pPr>
        <w:tabs>
          <w:tab w:val="left" w:pos="4022" w:leader="none"/>
        </w:tabs>
        <w:spacing w:before="0" w:after="0" w:line="240"/>
        <w:ind w:right="0" w:left="0" w:firstLine="0"/>
        <w:jc w:val="center"/>
        <w:rPr>
          <w:rFonts w:ascii="Times New Roman" w:hAnsi="Times New Roman" w:cs="Times New Roman" w:eastAsia="Times New Roman"/>
          <w:color w:val="auto"/>
          <w:spacing w:val="0"/>
          <w:position w:val="0"/>
          <w:sz w:val="22"/>
          <w:shd w:fill="auto" w:val="clear"/>
        </w:rPr>
      </w:pPr>
    </w:p>
    <w:p>
      <w:pPr>
        <w:tabs>
          <w:tab w:val="left" w:pos="4022" w:leader="none"/>
        </w:tabs>
        <w:spacing w:before="0" w:after="120" w:line="259"/>
        <w:ind w:right="0" w:left="0" w:firstLine="0"/>
        <w:jc w:val="center"/>
        <w:rPr>
          <w:rFonts w:ascii="Times New Roman" w:hAnsi="Times New Roman" w:cs="Times New Roman" w:eastAsia="Times New Roman"/>
          <w:color w:val="auto"/>
          <w:spacing w:val="0"/>
          <w:position w:val="0"/>
          <w:sz w:val="22"/>
          <w:shd w:fill="auto" w:val="clear"/>
        </w:rPr>
      </w:pPr>
    </w:p>
    <w:p>
      <w:pPr>
        <w:spacing w:before="0" w:after="160" w:line="259"/>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SUMÁRIO</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keepNext w:val="true"/>
        <w:keepLines w:val="true"/>
        <w:spacing w:before="0" w:after="240" w:line="259"/>
        <w:ind w:right="0" w:left="357" w:firstLine="357"/>
        <w:jc w:val="center"/>
        <w:rPr>
          <w:rFonts w:ascii="Times New Roman" w:hAnsi="Times New Roman" w:cs="Times New Roman" w:eastAsia="Times New Roman"/>
          <w:b/>
          <w:color w:val="auto"/>
          <w:spacing w:val="0"/>
          <w:position w:val="0"/>
          <w:sz w:val="24"/>
          <w:shd w:fill="auto" w:val="clear"/>
        </w:rPr>
      </w:pPr>
    </w:p>
    <w:p>
      <w:pPr>
        <w:spacing w:before="0" w:after="160" w:line="259"/>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AGRADECIMENTOS</w:t>
      </w:r>
    </w:p>
    <w:p>
      <w:pPr>
        <w:spacing w:before="0" w:after="0" w:line="259"/>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Agradeço com imenso carinho e gratidão, a minha família, principalmente, aos meus pais Marta e Joel por todo o incentivo e apoio nesse período de graduação e também ao Pedro.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Aos meus orientadores Fernanda Thomazelli e Fernando Armani pela orientação apoio, suporte científico, logístico e conhecimento, com o qual me auxiliaram durante a realização desse trabalho.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IEAPM, pelo apoio na realização desse trabalho, concedendo a permissão ao uso dos laboratórios e equipamentos para a realização das análises. A toda equipe da divisão de química e geologia do IEAPM, principalmente a Monique Dias e ao Roberto Romano, obrigada por tudo. As minhas amigas, principalmente a Janaína por todos os conselhos e incentivos durante a época da República 275 e a Kyara,</w:t>
      </w:r>
      <w:r>
        <w:rPr>
          <w:rFonts w:ascii="Times New Roman" w:hAnsi="Times New Roman" w:cs="Times New Roman" w:eastAsia="Times New Roman"/>
          <w:i/>
          <w:color w:val="auto"/>
          <w:spacing w:val="0"/>
          <w:position w:val="0"/>
          <w:sz w:val="24"/>
          <w:shd w:fill="auto" w:val="clear"/>
        </w:rPr>
        <w:t xml:space="preserve"> in memorian</w:t>
      </w:r>
      <w:r>
        <w:rPr>
          <w:rFonts w:ascii="Times New Roman" w:hAnsi="Times New Roman" w:cs="Times New Roman" w:eastAsia="Times New Roman"/>
          <w:color w:val="auto"/>
          <w:spacing w:val="0"/>
          <w:position w:val="0"/>
          <w:sz w:val="24"/>
          <w:shd w:fill="auto" w:val="clear"/>
        </w:rPr>
        <w:t xml:space="preserve">.</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também aos professores que desde a minha alfabetização até a graduação me auxiliaram a chegar até aqui: Ana Paula, Esther Miranda, Neuza, Felipe e Leonardo Moreira, e, principalmente ao professor Felipe Vasconcellos, que me apresentou à geoquímica, uma área fascinante.</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todos, </w:t>
      </w:r>
    </w:p>
    <w:p>
      <w:pPr>
        <w:spacing w:before="0" w:after="0" w:line="36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Muito Obrigada!</w:t>
      </w:r>
    </w:p>
    <w:p>
      <w:pPr>
        <w:spacing w:before="0" w:after="0" w:line="259"/>
        <w:ind w:right="0" w:left="0" w:firstLine="709"/>
        <w:jc w:val="left"/>
        <w:rPr>
          <w:rFonts w:ascii="Times New Roman" w:hAnsi="Times New Roman" w:cs="Times New Roman" w:eastAsia="Times New Roman"/>
          <w:b/>
          <w:color w:val="auto"/>
          <w:spacing w:val="0"/>
          <w:position w:val="0"/>
          <w:sz w:val="24"/>
          <w:shd w:fill="auto" w:val="clear"/>
        </w:rPr>
      </w:pPr>
    </w:p>
    <w:p>
      <w:pPr>
        <w:tabs>
          <w:tab w:val="left" w:pos="4022" w:leader="none"/>
        </w:tabs>
        <w:spacing w:before="0" w:after="120" w:line="259"/>
        <w:ind w:right="0" w:left="0" w:firstLine="0"/>
        <w:jc w:val="left"/>
        <w:rPr>
          <w:rFonts w:ascii="Times New Roman" w:hAnsi="Times New Roman" w:cs="Times New Roman" w:eastAsia="Times New Roman"/>
          <w:color w:val="auto"/>
          <w:spacing w:val="0"/>
          <w:position w:val="0"/>
          <w:sz w:val="24"/>
          <w:shd w:fill="auto" w:val="clear"/>
        </w:rPr>
      </w:pPr>
    </w:p>
    <w:p>
      <w:pPr>
        <w:tabs>
          <w:tab w:val="left" w:pos="4022" w:leader="none"/>
        </w:tabs>
        <w:spacing w:before="0" w:after="120" w:line="259"/>
        <w:ind w:right="0" w:left="0" w:firstLine="0"/>
        <w:jc w:val="left"/>
        <w:rPr>
          <w:rFonts w:ascii="Times New Roman" w:hAnsi="Times New Roman" w:cs="Times New Roman" w:eastAsia="Times New Roman"/>
          <w:color w:val="auto"/>
          <w:spacing w:val="0"/>
          <w:position w:val="0"/>
          <w:sz w:val="24"/>
          <w:shd w:fill="auto" w:val="clear"/>
        </w:rPr>
      </w:pPr>
    </w:p>
    <w:p>
      <w:pPr>
        <w:tabs>
          <w:tab w:val="left" w:pos="4022" w:leader="none"/>
        </w:tabs>
        <w:spacing w:before="0" w:after="120" w:line="259"/>
        <w:ind w:right="0" w:left="0" w:firstLine="0"/>
        <w:jc w:val="left"/>
        <w:rPr>
          <w:rFonts w:ascii="Times New Roman" w:hAnsi="Times New Roman" w:cs="Times New Roman" w:eastAsia="Times New Roman"/>
          <w:color w:val="auto"/>
          <w:spacing w:val="0"/>
          <w:position w:val="0"/>
          <w:sz w:val="24"/>
          <w:shd w:fill="auto" w:val="clear"/>
        </w:rPr>
      </w:pPr>
    </w:p>
    <w:p>
      <w:pPr>
        <w:tabs>
          <w:tab w:val="left" w:pos="4022" w:leader="none"/>
        </w:tabs>
        <w:spacing w:before="0" w:after="120" w:line="259"/>
        <w:ind w:right="0" w:left="0" w:firstLine="0"/>
        <w:jc w:val="left"/>
        <w:rPr>
          <w:rFonts w:ascii="Times New Roman" w:hAnsi="Times New Roman" w:cs="Times New Roman" w:eastAsia="Times New Roman"/>
          <w:color w:val="auto"/>
          <w:spacing w:val="0"/>
          <w:position w:val="0"/>
          <w:sz w:val="24"/>
          <w:shd w:fill="auto" w:val="clear"/>
        </w:rPr>
      </w:pPr>
    </w:p>
    <w:p>
      <w:pPr>
        <w:tabs>
          <w:tab w:val="left" w:pos="4022" w:leader="none"/>
        </w:tabs>
        <w:spacing w:before="0" w:after="120" w:line="259"/>
        <w:ind w:right="0" w:left="0" w:firstLine="0"/>
        <w:jc w:val="left"/>
        <w:rPr>
          <w:rFonts w:ascii="Times New Roman" w:hAnsi="Times New Roman" w:cs="Times New Roman" w:eastAsia="Times New Roman"/>
          <w:color w:val="auto"/>
          <w:spacing w:val="0"/>
          <w:position w:val="0"/>
          <w:sz w:val="24"/>
          <w:shd w:fill="auto" w:val="clear"/>
        </w:rPr>
      </w:pPr>
    </w:p>
    <w:p>
      <w:pPr>
        <w:tabs>
          <w:tab w:val="left" w:pos="4022" w:leader="none"/>
        </w:tabs>
        <w:spacing w:before="0" w:after="120" w:line="259"/>
        <w:ind w:right="0" w:left="0" w:firstLine="0"/>
        <w:jc w:val="left"/>
        <w:rPr>
          <w:rFonts w:ascii="Times New Roman" w:hAnsi="Times New Roman" w:cs="Times New Roman" w:eastAsia="Times New Roman"/>
          <w:color w:val="auto"/>
          <w:spacing w:val="0"/>
          <w:position w:val="0"/>
          <w:sz w:val="24"/>
          <w:shd w:fill="auto" w:val="clear"/>
        </w:rPr>
      </w:pPr>
    </w:p>
    <w:p>
      <w:pPr>
        <w:tabs>
          <w:tab w:val="left" w:pos="4022" w:leader="none"/>
        </w:tabs>
        <w:spacing w:before="0" w:after="120" w:line="259"/>
        <w:ind w:right="0" w:left="0" w:firstLine="0"/>
        <w:jc w:val="left"/>
        <w:rPr>
          <w:rFonts w:ascii="Times New Roman" w:hAnsi="Times New Roman" w:cs="Times New Roman" w:eastAsia="Times New Roman"/>
          <w:color w:val="auto"/>
          <w:spacing w:val="0"/>
          <w:position w:val="0"/>
          <w:sz w:val="24"/>
          <w:shd w:fill="auto" w:val="clear"/>
        </w:rPr>
      </w:pPr>
    </w:p>
    <w:p>
      <w:pPr>
        <w:tabs>
          <w:tab w:val="left" w:pos="4022" w:leader="none"/>
        </w:tabs>
        <w:spacing w:before="0" w:after="120" w:line="259"/>
        <w:ind w:right="0" w:left="0" w:firstLine="0"/>
        <w:jc w:val="left"/>
        <w:rPr>
          <w:rFonts w:ascii="Times New Roman" w:hAnsi="Times New Roman" w:cs="Times New Roman" w:eastAsia="Times New Roman"/>
          <w:color w:val="auto"/>
          <w:spacing w:val="0"/>
          <w:position w:val="0"/>
          <w:sz w:val="24"/>
          <w:shd w:fill="auto" w:val="clear"/>
        </w:rPr>
      </w:pPr>
    </w:p>
    <w:p>
      <w:pPr>
        <w:tabs>
          <w:tab w:val="left" w:pos="4022" w:leader="none"/>
        </w:tabs>
        <w:spacing w:before="0" w:after="120" w:line="259"/>
        <w:ind w:right="0" w:left="0" w:firstLine="0"/>
        <w:jc w:val="left"/>
        <w:rPr>
          <w:rFonts w:ascii="Times New Roman" w:hAnsi="Times New Roman" w:cs="Times New Roman" w:eastAsia="Times New Roman"/>
          <w:color w:val="auto"/>
          <w:spacing w:val="0"/>
          <w:position w:val="0"/>
          <w:sz w:val="24"/>
          <w:shd w:fill="auto" w:val="clear"/>
        </w:rPr>
      </w:pPr>
    </w:p>
    <w:p>
      <w:pPr>
        <w:tabs>
          <w:tab w:val="left" w:pos="4022" w:leader="none"/>
        </w:tabs>
        <w:spacing w:before="0" w:after="120" w:line="259"/>
        <w:ind w:right="0" w:left="0" w:firstLine="0"/>
        <w:jc w:val="left"/>
        <w:rPr>
          <w:rFonts w:ascii="Times New Roman" w:hAnsi="Times New Roman" w:cs="Times New Roman" w:eastAsia="Times New Roman"/>
          <w:color w:val="auto"/>
          <w:spacing w:val="0"/>
          <w:position w:val="0"/>
          <w:sz w:val="24"/>
          <w:shd w:fill="auto" w:val="clear"/>
        </w:rPr>
      </w:pPr>
    </w:p>
    <w:p>
      <w:pPr>
        <w:tabs>
          <w:tab w:val="left" w:pos="4022" w:leader="none"/>
        </w:tabs>
        <w:spacing w:before="0" w:after="120" w:line="259"/>
        <w:ind w:right="0" w:left="0" w:firstLine="0"/>
        <w:jc w:val="left"/>
        <w:rPr>
          <w:rFonts w:ascii="Times New Roman" w:hAnsi="Times New Roman" w:cs="Times New Roman" w:eastAsia="Times New Roman"/>
          <w:color w:val="auto"/>
          <w:spacing w:val="0"/>
          <w:position w:val="0"/>
          <w:sz w:val="24"/>
          <w:shd w:fill="auto" w:val="clear"/>
        </w:rPr>
      </w:pPr>
    </w:p>
    <w:p>
      <w:pPr>
        <w:tabs>
          <w:tab w:val="left" w:pos="4022" w:leader="none"/>
        </w:tabs>
        <w:spacing w:before="0" w:after="120" w:line="259"/>
        <w:ind w:right="0" w:left="0" w:firstLine="0"/>
        <w:jc w:val="left"/>
        <w:rPr>
          <w:rFonts w:ascii="Times New Roman" w:hAnsi="Times New Roman" w:cs="Times New Roman" w:eastAsia="Times New Roman"/>
          <w:color w:val="auto"/>
          <w:spacing w:val="0"/>
          <w:position w:val="0"/>
          <w:sz w:val="24"/>
          <w:shd w:fill="auto" w:val="clear"/>
        </w:rPr>
      </w:pPr>
    </w:p>
    <w:p>
      <w:pPr>
        <w:tabs>
          <w:tab w:val="left" w:pos="4022" w:leader="none"/>
        </w:tabs>
        <w:spacing w:before="0" w:after="120" w:line="259"/>
        <w:ind w:right="0" w:left="0" w:firstLine="0"/>
        <w:jc w:val="left"/>
        <w:rPr>
          <w:rFonts w:ascii="Times New Roman" w:hAnsi="Times New Roman" w:cs="Times New Roman" w:eastAsia="Times New Roman"/>
          <w:color w:val="auto"/>
          <w:spacing w:val="0"/>
          <w:position w:val="0"/>
          <w:sz w:val="24"/>
          <w:shd w:fill="auto" w:val="clear"/>
        </w:rPr>
      </w:pPr>
    </w:p>
    <w:p>
      <w:pPr>
        <w:tabs>
          <w:tab w:val="left" w:pos="4022" w:leader="none"/>
        </w:tabs>
        <w:spacing w:before="0" w:after="120" w:line="259"/>
        <w:ind w:right="0" w:left="0" w:firstLine="0"/>
        <w:jc w:val="left"/>
        <w:rPr>
          <w:rFonts w:ascii="Times New Roman" w:hAnsi="Times New Roman" w:cs="Times New Roman" w:eastAsia="Times New Roman"/>
          <w:color w:val="auto"/>
          <w:spacing w:val="0"/>
          <w:position w:val="0"/>
          <w:sz w:val="24"/>
          <w:shd w:fill="auto" w:val="clear"/>
        </w:rPr>
      </w:pPr>
    </w:p>
    <w:p>
      <w:pPr>
        <w:tabs>
          <w:tab w:val="left" w:pos="4022" w:leader="none"/>
        </w:tabs>
        <w:spacing w:before="0" w:after="120" w:line="259"/>
        <w:ind w:right="0" w:left="0" w:firstLine="0"/>
        <w:jc w:val="left"/>
        <w:rPr>
          <w:rFonts w:ascii="Times New Roman" w:hAnsi="Times New Roman" w:cs="Times New Roman" w:eastAsia="Times New Roman"/>
          <w:color w:val="auto"/>
          <w:spacing w:val="0"/>
          <w:position w:val="0"/>
          <w:sz w:val="24"/>
          <w:shd w:fill="auto" w:val="clear"/>
        </w:rPr>
      </w:pPr>
    </w:p>
    <w:p>
      <w:pPr>
        <w:tabs>
          <w:tab w:val="left" w:pos="4022" w:leader="none"/>
        </w:tabs>
        <w:spacing w:before="0" w:after="12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2552" w:firstLine="709"/>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“Sobre vida... </w:t>
      </w:r>
    </w:p>
    <w:p>
      <w:pPr>
        <w:spacing w:before="0" w:after="0" w:line="360"/>
        <w:ind w:right="0" w:left="2552" w:firstLine="709"/>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“Se você pensa que pode ou se pensa que não pode, de qualquer forma você está certo.”</w:t>
      </w:r>
    </w:p>
    <w:p>
      <w:pPr>
        <w:spacing w:before="0" w:after="0" w:line="360"/>
        <w:ind w:right="0" w:left="2552" w:firstLine="709"/>
        <w:jc w:val="right"/>
        <w:rPr>
          <w:rFonts w:ascii="Times New Roman" w:hAnsi="Times New Roman" w:cs="Times New Roman" w:eastAsia="Times New Roman"/>
          <w:b/>
          <w:color w:val="auto"/>
          <w:spacing w:val="0"/>
          <w:position w:val="0"/>
          <w:sz w:val="24"/>
          <w:shd w:fill="auto" w:val="clear"/>
        </w:rPr>
      </w:pPr>
      <w:hyperlink xmlns:r="http://schemas.openxmlformats.org/officeDocument/2006/relationships" r:id="docRId0">
        <w:r>
          <w:rPr>
            <w:rFonts w:ascii="Times New Roman" w:hAnsi="Times New Roman" w:cs="Times New Roman" w:eastAsia="Times New Roman"/>
            <w:b/>
            <w:color w:val="0000FF"/>
            <w:spacing w:val="0"/>
            <w:position w:val="0"/>
            <w:sz w:val="24"/>
            <w:u w:val="single"/>
            <w:shd w:fill="auto" w:val="clear"/>
          </w:rPr>
          <w:t xml:space="preserve">Henry Ford</w:t>
        </w:r>
      </w:hyperlink>
    </w:p>
    <w:p>
      <w:pPr>
        <w:spacing w:before="0" w:after="0" w:line="360"/>
        <w:ind w:right="0" w:left="0" w:firstLine="709"/>
        <w:jc w:val="right"/>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se estiver difícil “põe mais 5%”</w:t>
      </w:r>
    </w:p>
    <w:p>
      <w:pPr>
        <w:spacing w:before="0" w:after="0" w:line="360"/>
        <w:ind w:right="0" w:left="0" w:firstLine="709"/>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“Força, garra e determinação”</w:t>
      </w:r>
    </w:p>
    <w:p>
      <w:pPr>
        <w:spacing w:before="0" w:after="0" w:line="360"/>
        <w:ind w:right="0" w:left="0" w:firstLine="709"/>
        <w:jc w:val="left"/>
        <w:rPr>
          <w:rFonts w:ascii="Times New Roman" w:hAnsi="Times New Roman" w:cs="Times New Roman" w:eastAsia="Times New Roman"/>
          <w:color w:val="auto"/>
          <w:spacing w:val="0"/>
          <w:position w:val="0"/>
          <w:sz w:val="24"/>
          <w:shd w:fill="auto" w:val="clear"/>
        </w:rPr>
      </w:pPr>
    </w:p>
    <w:p>
      <w:pPr>
        <w:tabs>
          <w:tab w:val="left" w:pos="4022" w:leader="none"/>
        </w:tabs>
        <w:spacing w:before="0" w:after="120" w:line="259"/>
        <w:ind w:right="0" w:left="0" w:firstLine="0"/>
        <w:jc w:val="left"/>
        <w:rPr>
          <w:rFonts w:ascii="Times New Roman" w:hAnsi="Times New Roman" w:cs="Times New Roman" w:eastAsia="Times New Roman"/>
          <w:color w:val="auto"/>
          <w:spacing w:val="0"/>
          <w:position w:val="0"/>
          <w:sz w:val="24"/>
          <w:shd w:fill="auto" w:val="clear"/>
        </w:rPr>
      </w:pPr>
    </w:p>
    <w:p>
      <w:pPr>
        <w:tabs>
          <w:tab w:val="left" w:pos="4022" w:leader="none"/>
        </w:tabs>
        <w:spacing w:before="0" w:after="120" w:line="259"/>
        <w:ind w:right="0" w:left="0" w:firstLine="0"/>
        <w:jc w:val="left"/>
        <w:rPr>
          <w:rFonts w:ascii="Times New Roman" w:hAnsi="Times New Roman" w:cs="Times New Roman" w:eastAsia="Times New Roman"/>
          <w:color w:val="auto"/>
          <w:spacing w:val="0"/>
          <w:position w:val="0"/>
          <w:sz w:val="24"/>
          <w:shd w:fill="auto" w:val="clear"/>
        </w:rPr>
      </w:pPr>
    </w:p>
    <w:p>
      <w:pPr>
        <w:tabs>
          <w:tab w:val="left" w:pos="4022" w:leader="none"/>
        </w:tabs>
        <w:spacing w:before="0" w:after="0" w:line="259"/>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RESUMO</w:t>
      </w:r>
    </w:p>
    <w:p>
      <w:pPr>
        <w:tabs>
          <w:tab w:val="left" w:pos="709" w:leader="none"/>
        </w:tabs>
        <w:spacing w:before="0" w:after="0" w:line="259"/>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NASCIMENTO, A.S.</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Determinação preliminar da concentração de metais pesados em sedimentos da região norte da Baía Sepetiba, RJ, Brasil</w:t>
      </w:r>
      <w:r>
        <w:rPr>
          <w:rFonts w:ascii="Times New Roman" w:hAnsi="Times New Roman" w:cs="Times New Roman" w:eastAsia="Times New Roman"/>
          <w:color w:val="auto"/>
          <w:spacing w:val="0"/>
          <w:position w:val="0"/>
          <w:sz w:val="24"/>
          <w:shd w:fill="auto" w:val="clear"/>
        </w:rPr>
        <w:t xml:space="preserve">. Macaé, 2019. Trabalho de Conclusão de Curso (Bacharelado em Química)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Universidade Federal do Rio de Janeiro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Campus Macaé,</w:t>
      </w:r>
      <w:r>
        <w:rPr>
          <w:rFonts w:ascii="Times New Roman" w:hAnsi="Times New Roman" w:cs="Times New Roman" w:eastAsia="Times New Roman"/>
          <w:color w:val="auto"/>
          <w:spacing w:val="0"/>
          <w:position w:val="0"/>
          <w:sz w:val="24"/>
          <w:shd w:fill="auto" w:val="clear"/>
        </w:rPr>
        <w:t xml:space="preserve"> 2019.</w:t>
      </w:r>
    </w:p>
    <w:p>
      <w:pPr>
        <w:tabs>
          <w:tab w:val="left" w:pos="709" w:leader="none"/>
        </w:tabs>
        <w:spacing w:before="0" w:after="0" w:line="259"/>
        <w:ind w:right="0" w:left="0" w:firstLine="709"/>
        <w:jc w:val="left"/>
        <w:rPr>
          <w:rFonts w:ascii="Times New Roman" w:hAnsi="Times New Roman" w:cs="Times New Roman" w:eastAsia="Times New Roman"/>
          <w:color w:val="auto"/>
          <w:spacing w:val="0"/>
          <w:position w:val="0"/>
          <w:sz w:val="24"/>
          <w:shd w:fill="auto" w:val="clear"/>
        </w:rPr>
      </w:pPr>
    </w:p>
    <w:p>
      <w:pPr>
        <w:tabs>
          <w:tab w:val="left" w:pos="4022" w:leader="none"/>
        </w:tabs>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é um trabalho colaborativo junto ao Instituto de Estudos do Mar Almirante Paulo Moreira (IEAPM - Marinha do Brasil). Neste trabalho foi realizada a determinação preliminar da concentração de 13 metais pesados/metais traço: Alumínio (Al), Arsênio (As), Bário (Ba), Cádmio (Cd), Cobre (Cu), Cromo (Cr), Ferro (Fe), Manganês (Mn), Níquel (Ni), Chumbo (Pb), Selênio (Se), Urânio (U) e Zinco (Zn) em sedimentos de cinco pontos da região norte da Baía de Sepetiba, por meio da técnica de Espectrometria de Massas atômica com Plasma de  Indutivamente Acoplado (ICP-MS) com objetivo de obter informações preliminares sobre a qualidade do sedimento na região de desenvolvimento do empreendimento Estaleiro e Base Naval (EBN) para a construção de submarinos convencionais e de propulsão nuclear da Marinha do Brasil nessa região. Os sedimentos foram coletados em novembro de 2018 em cinco pontos na região de influência do empreendimento. A determinação da concentração dos metais foi realizada por meio técnica analítica ICP-MS com plasma de argônio, utilizando como métodos, o EPA 3051a e EPA 6020b. Os resultados das concentrações dos metais analisados foram comparados com a RC 454/12, no entanto, como ela não fornece valores de referência para todos os metais analisados, foi preciso fazer uma breve revisão bibliográfica sobre estudos anteriores realizados que avaliassem as concentrações desses 13 metais na Baía de Sepetiba. Também foi feita uma breve comparação entre as concentrações encontradas na Baía e no mundo. Ao comparar os resultados concentrações dos metais encontradas neste trabalho com os valores de referência disponíveis na RC 454/12 para as concentrações de As, Cd, Cr, Cu, Ni, Pb e Zn, verificou-se que as concentrações registradas neste trabalho estão abaixo do nível 1 (nível de menor probabilidade de efeitos a biota)  em todos os pontos analisados,  com exceção Cd e do Zn, cujas concentrações estão acima do nível 1 nos pontos P1 e P3. Em relação aos pontos analisados, os resultados mostraram, que as maiores concentrações de Al, As, Ba, Cd, Cr, Cu, Fe, Ni, Mn, Pb, Se, U e Zn foram encontradas nos pontos P1 e P3, e as menores concentrações foram encontradas nos pontos PC, P4 e P5.</w:t>
      </w:r>
    </w:p>
    <w:p>
      <w:pPr>
        <w:tabs>
          <w:tab w:val="left" w:pos="4022" w:leader="none"/>
        </w:tabs>
        <w:spacing w:before="0" w:after="0" w:line="259"/>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Palavras-chave:</w:t>
      </w:r>
      <w:r>
        <w:rPr>
          <w:rFonts w:ascii="Times New Roman" w:hAnsi="Times New Roman" w:cs="Times New Roman" w:eastAsia="Times New Roman"/>
          <w:color w:val="auto"/>
          <w:spacing w:val="0"/>
          <w:position w:val="0"/>
          <w:sz w:val="24"/>
          <w:shd w:fill="auto" w:val="clear"/>
        </w:rPr>
        <w:t xml:space="preserve"> Baía de Sepetiba, metais pesados/traço, sedimentos, ICP-MS.</w:t>
      </w:r>
    </w:p>
    <w:p>
      <w:pPr>
        <w:tabs>
          <w:tab w:val="left" w:pos="4022" w:leader="none"/>
        </w:tabs>
        <w:spacing w:before="0" w:after="0" w:line="259"/>
        <w:ind w:right="0" w:left="0" w:firstLine="0"/>
        <w:jc w:val="left"/>
        <w:rPr>
          <w:rFonts w:ascii="Times New Roman" w:hAnsi="Times New Roman" w:cs="Times New Roman" w:eastAsia="Times New Roman"/>
          <w:color w:val="auto"/>
          <w:spacing w:val="0"/>
          <w:position w:val="0"/>
          <w:sz w:val="24"/>
          <w:shd w:fill="auto" w:val="clear"/>
        </w:rPr>
      </w:pPr>
    </w:p>
    <w:p>
      <w:pPr>
        <w:tabs>
          <w:tab w:val="left" w:pos="4022" w:leader="none"/>
        </w:tabs>
        <w:spacing w:before="0" w:after="0" w:line="259"/>
        <w:ind w:right="0" w:left="0" w:firstLine="0"/>
        <w:jc w:val="left"/>
        <w:rPr>
          <w:rFonts w:ascii="Times New Roman" w:hAnsi="Times New Roman" w:cs="Times New Roman" w:eastAsia="Times New Roman"/>
          <w:color w:val="auto"/>
          <w:spacing w:val="0"/>
          <w:position w:val="0"/>
          <w:sz w:val="24"/>
          <w:shd w:fill="auto" w:val="clear"/>
        </w:rPr>
      </w:pPr>
    </w:p>
    <w:p>
      <w:pPr>
        <w:keepNext w:val="true"/>
        <w:keepLines w:val="true"/>
        <w:numPr>
          <w:ilvl w:val="0"/>
          <w:numId w:val="54"/>
        </w:numPr>
        <w:spacing w:before="0" w:after="0" w:line="259"/>
        <w:ind w:right="0" w:left="714" w:hanging="357"/>
        <w:jc w:val="left"/>
        <w:rPr>
          <w:rFonts w:ascii="Times New Roman" w:hAnsi="Times New Roman" w:cs="Times New Roman" w:eastAsia="Times New Roman"/>
          <w:b/>
          <w:color w:val="auto"/>
          <w:spacing w:val="0"/>
          <w:position w:val="0"/>
          <w:sz w:val="24"/>
          <w:shd w:fill="auto" w:val="clear"/>
        </w:rPr>
      </w:pPr>
    </w:p>
    <w:p>
      <w:pPr>
        <w:keepNext w:val="true"/>
        <w:keepLines w:val="true"/>
        <w:numPr>
          <w:ilvl w:val="0"/>
          <w:numId w:val="54"/>
        </w:numPr>
        <w:spacing w:before="0" w:after="0" w:line="259"/>
        <w:ind w:right="0" w:left="714" w:hanging="357"/>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INTRODUÇÃO</w:t>
      </w:r>
    </w:p>
    <w:p>
      <w:pPr>
        <w:spacing w:before="0" w:after="0" w:line="312"/>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água é um recurso natural limitado, fundamental a vida e tanto sua preservação quanto a poluição, a qual está submetida, é motivo de preocupação mundial, (DA COSTA et al. 2010; DA COSTA, 2017), sendo a  poluição de corpos de água um problema ambiental que pode ter origem agros-pastoril, natural, industrial e/ou urbana  e resultar em impactos negativos sobre ecossistemas e sobrevivência humana (DERÍSIO, 2013).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Neste contexto, os estuários são ambientes que são submetidos constantemente à disposição de poluentes industriais, urbanos e agrícolas e isso acarreta contaminação das águas (LEMOS, 2015). Esses poluentes são descarregados diretamente por plantas industriais e estações municipais de tratamento de esgoto, outros são provenientes de escoamento poluído em áreas urbanas e agrícolas, e alguns são resultados de contaminação histórica (PEMPKOWIAK et al., 1999; BEGUM; HARIKRISHNA; KHAN, 2009)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sistemas estuarinos são caracterizados pela livre conecção entre o rio e o mar, em local semi-fechado (AMORIM, 2012), sendo ecossistemas de grande diversidade biológica, servindo de habitat de várias espécies de peixes, dentre elas as de grande valor comercial, o que mostra parte de seu valor econômico (DAMATTO, 2010). Neste local ocorrem as maiores variações físico-químicas e a maior taxa de retenção de sedimentos, poluentes, matéria orgânica, e nutrientes oriundos do continente.</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sedimento é um compartimento ambiental do ecossistema aquático, formado pela decomposição de rochas e matéria orgânica que ao se estabilizarem formam o fundo submarino, sendo classificado de acordo com 4 constituintes: água intersticial, que é água que flui entre as partículas de sedimentos, fase sólida inorgânica que é formada por particulas minerais, provenientes de processos de decomposição de rochas, matéria orgânica formada por processos de decomposição e poluição antropogênica associada a atividades humanas (CESAR, 2003). Este compartimento fornece o substrato para os organismos e desempenha um papel essencial no ecossistema aquático (BURDEN et al., 2002).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entanto, os sedimentos podem acumular espécies de poluentes a partir da água devido a sua alta capacidade de sorção e acumulação associadas (DE JESUS et al., 2004) e, portanto, as concentrações nos sedimentos são maiores que nas águas correspondentes, possibilitando o uso deste como um bom indicador de poluição ambiental (FOSTNER; WITTMANN, 2012; CARVALHO; LACERDA, 1992).São também um grande repositório para muitos dos produtos químicos mais persistentes que são introduzidos nas águas superficiais. No ambiente aquático, a maioria dos produtos químicos antropogênicos e resíduos, incluindo produtos químicos orgânicos e inorgânicos tóxicos, eventualmente se acumulam em sedimentos. Os contaminantes não são necessariamente fixos permanentemente pelos sedimentos e podem ser reciclados por agentes biológicos e químicos, tanto no compartimento sedimentar quanto na coluna de água (MALINS et al., 1984; GÜVEN; AKINCI, 2008).</w:t>
      </w:r>
    </w:p>
    <w:p>
      <w:pPr>
        <w:spacing w:before="0" w:after="0" w:line="360"/>
        <w:ind w:right="0" w:left="0" w:firstLine="709"/>
        <w:jc w:val="both"/>
        <w:rPr>
          <w:rFonts w:ascii="Times New Roman" w:hAnsi="Times New Roman" w:cs="Times New Roman" w:eastAsia="Times New Roman"/>
          <w:color w:val="auto"/>
          <w:spacing w:val="0"/>
          <w:position w:val="0"/>
          <w:sz w:val="24"/>
          <w:shd w:fill="00FFFF" w:val="clear"/>
        </w:rPr>
      </w:pPr>
      <w:r>
        <w:rPr>
          <w:rFonts w:ascii="Times New Roman" w:hAnsi="Times New Roman" w:cs="Times New Roman" w:eastAsia="Times New Roman"/>
          <w:color w:val="auto"/>
          <w:spacing w:val="0"/>
          <w:position w:val="0"/>
          <w:sz w:val="24"/>
          <w:shd w:fill="auto" w:val="clear"/>
        </w:rPr>
        <w:t xml:space="preserve">Os sedimentos também são um importante repositório de poluentes metálicos que entram no mar. Em ambientes aquáticos, muitos metais pesados /traços são transportados em associação com material particulado e, consequentemente, uma alta concentração destes pode ser detectada em sedimentos de portos industrializados e regiões costeiras (FENG et al. 2004; WANG et al. 2007).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 dos problemas relacionados aos sedimentos contaminados é sua remobilização, para a coluna da água, pois pode significar que todos os animais na água e não apenas os organismos que vivem no fundo, serão diretamente expostos a contaminantes tóxicos, assim processos de dragagem, processos bióticos e abióticos podem remobilizar tais espécies contaminantes, constituindo-se em fontes de poluição secundárias, afetando a qualidade da água causando acumulação de contaminantes nos organismos (MALINS et al., 1984; LITHERATY et al., 1987; FERNANDES et al., 1994).</w:t>
      </w:r>
    </w:p>
    <w:p>
      <w:pPr>
        <w:spacing w:before="0" w:after="0" w:line="36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Os efeitos cumulativos estão relacionados à bioconcentração, bioacumulação e biomagnificação. A bioconcentração é o processo de absorção e acumulação de contaminates por organismos aquáticos, por meio de sua superfície respirátória e dérmica (COSTA, 2008) que ocorre a partir do meio que estes organismos se encontram, que independe da alimentação dos organismos (SILVANO, 2003; LIMA;MERÇON, 2011).Outro efeito cumulativo que pode ocorrer é a  bioacumulação que consiste no processo de transferência do contaminante para o organismo a partir de todas as vias (água, sedimento e alimentação) de exposição ao contaminante no ambiente , gerando assim a acumulação e retenção do contaminante no tecido do organismo. (COSTA, 2008); TREVIZANI et al, 2016). Além disso, pode ocorrer também o processo de transferência dos contaminantes longo da cadeia alimentar, chamado biomagnificação. Como resultado, peixes, moluscos, aves aquáticas, mamíferos marinhos e de água doce podem acumular concentrações perigosas de produtos químicos tóxicos (BEGUM; HARIKRISHNA; KHAN, 2009) chegando aos humanos.</w:t>
      </w:r>
    </w:p>
    <w:p>
      <w:pPr>
        <w:spacing w:before="0" w:after="0" w:line="360"/>
        <w:ind w:right="0" w:left="0" w:firstLine="709"/>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sedimentos fornecem habitat para muitos organismos aquáticos, e os sedimentos contaminados podem ameaçá-los por meio de efeitos tóxicos. Estes efeitos dependem da concentração, das propriedades dos contaminantes e do tempo de exposição do organismo ao contaminante no ecossistema aquático (COSTA, 2008) que pode ser liberado na coluna d’água a partir do sedimento e causar os efeitos cumulativos e tóxicos.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Desse modo, tanto organismos bentônicos que vivem em contato direto com o sedimento, quanto os organismos de todo o ecossistema aquático podem ser afetados.  Em consequência, a contaminação de sedimentos é um importante problema ambiental em todo mundo.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57"/>
        </w:numPr>
        <w:spacing w:before="0" w:after="0" w:line="259"/>
        <w:ind w:right="0" w:left="714" w:hanging="357"/>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REVISÃO BIBLIOGRÁFICA</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59"/>
        </w:numPr>
        <w:spacing w:before="0" w:after="240" w:line="360"/>
        <w:ind w:right="0" w:left="1069"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Metais Pesados/Traço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metais estão presentes na natureza em minerais constituintes das rochas e podem ser liberados no ambiente por meio de intemperismo físico, químico ou biológico, passando a incorpora-se ao solo, sedimento e água. Entretanto, após a industrialização, grandes mudanças ocorreram no equilíbrio global destes constituintes desafiando os sistemas reguladores que levaram milhões de anos para evoluir (WOOD; WANG, 1983).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Metais pesados são definidos como elementos metálicos que possuem alta densidade, superior a 4,0 g/cm</w:t>
      </w:r>
      <w:r>
        <w:rPr>
          <w:rFonts w:ascii="Times New Roman" w:hAnsi="Times New Roman" w:cs="Times New Roman" w:eastAsia="Times New Roman"/>
          <w:color w:val="auto"/>
          <w:spacing w:val="0"/>
          <w:position w:val="0"/>
          <w:sz w:val="24"/>
          <w:shd w:fill="auto" w:val="clear"/>
          <w:vertAlign w:val="superscript"/>
        </w:rPr>
        <w:t xml:space="preserve">3</w:t>
      </w:r>
      <w:r>
        <w:rPr>
          <w:rFonts w:ascii="Times New Roman" w:hAnsi="Times New Roman" w:cs="Times New Roman" w:eastAsia="Times New Roman"/>
          <w:color w:val="auto"/>
          <w:spacing w:val="0"/>
          <w:position w:val="0"/>
          <w:sz w:val="24"/>
          <w:shd w:fill="auto" w:val="clear"/>
        </w:rPr>
        <w:t xml:space="preserve">, com massa atômica entre 63,55 e 207,2 u.m.a e que apresentam alguma toxicidade para animais e para processos aeróbicos e/ou anaeróbicos (FERGUSSON, 1990; DUFFUS, 2002).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Nos últimos anos, tem havido uma crescente preocupação em relação à contaminação ambiental por esses metais, principalmente no que diz respeito à ecologia e saúde pública. Embora os metais pesados sejam elementos naturais encontrados em toda a crosta terrestre, a maior parte da contaminação ambiental e da exposição humana resulta de atividades antropogênicas, como mineração, industrial, rejeito doméstico e agrícola (SHALLARI et al., 1998; HE et al., 2005), podendo vir, também, da corrosão de metal, deposição atmosférica, erosão do solo e lixiviação de metais pesados e ressuspensão de sedimentos (TCHOUNWOU et al., 2012).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metais pesados também são denominado metais-traço, devido à sua presença em concentrações vestigiais (abaixo de 10 ppm) em várias matrizes ambientais (KABATA- PENDIAS; PENDIAS, 2000; OLIVEIRA; MARINS, 2011).A sua disponibilidade influenciada por fatores físicos como temperatura e adsorção, assim como, por fatores químicos, que influenciam a especiação no equilíbrio termodinâmico, cinética de complexação, solubilidade lipídica e coeficientes de partição (</w:t>
      </w:r>
      <w:r>
        <w:rPr>
          <w:rFonts w:ascii="Times New Roman" w:hAnsi="Times New Roman" w:cs="Times New Roman" w:eastAsia="Times New Roman"/>
          <w:color w:val="000000"/>
          <w:spacing w:val="0"/>
          <w:position w:val="0"/>
          <w:sz w:val="24"/>
          <w:shd w:fill="FFFFFF" w:val="clear"/>
        </w:rPr>
        <w:t xml:space="preserve">HAMELINK, 1994)</w:t>
      </w:r>
      <w:r>
        <w:rPr>
          <w:rFonts w:ascii="Times New Roman" w:hAnsi="Times New Roman" w:cs="Times New Roman" w:eastAsia="Times New Roman"/>
          <w:color w:val="auto"/>
          <w:spacing w:val="0"/>
          <w:position w:val="0"/>
          <w:sz w:val="24"/>
          <w:shd w:fill="auto" w:val="clear"/>
        </w:rPr>
        <w:t xml:space="preserve">.</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acordo com Sallomons e Forstner (1984), metais-traço podem estar dispostos na atmosfera e também em sistemas aquáticos na forma dissolvida ou particulada, ou mesmo presente em sedimentos. Este último compartimento pode atuar como reservatório, e dependendo das condições ambientais, favorecer o acúmulo ou disponibilizá-los para o ambiente.</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160" w:line="259"/>
        <w:ind w:right="0" w:left="708" w:firstLine="0"/>
        <w:jc w:val="left"/>
        <w:rPr>
          <w:rFonts w:ascii="Times New Roman" w:hAnsi="Times New Roman" w:cs="Times New Roman" w:eastAsia="Times New Roman"/>
          <w:b/>
          <w:color w:val="4472C4"/>
          <w:spacing w:val="15"/>
          <w:position w:val="0"/>
          <w:sz w:val="24"/>
          <w:shd w:fill="auto" w:val="clear"/>
        </w:rPr>
      </w:pPr>
      <w:r>
        <w:rPr>
          <w:rFonts w:ascii="Times New Roman" w:hAnsi="Times New Roman" w:cs="Times New Roman" w:eastAsia="Times New Roman"/>
          <w:b/>
          <w:color w:val="4472C4"/>
          <w:spacing w:val="15"/>
          <w:position w:val="0"/>
          <w:sz w:val="24"/>
          <w:shd w:fill="auto" w:val="clear"/>
        </w:rPr>
        <w:t xml:space="preserve"> </w:t>
      </w:r>
      <w:r>
        <w:rPr>
          <w:rFonts w:ascii="Times New Roman" w:hAnsi="Times New Roman" w:cs="Times New Roman" w:eastAsia="Times New Roman"/>
          <w:b/>
          <w:color w:val="auto"/>
          <w:spacing w:val="15"/>
          <w:position w:val="0"/>
          <w:sz w:val="24"/>
          <w:shd w:fill="auto" w:val="clear"/>
        </w:rPr>
        <w:t xml:space="preserve">2.2. Metais Pesados em Sedimentos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concentração e mobilidade dos metais pesados nos sedimentos podem ser influenciadas por variações de físico-químicas ambientais, como, pelas variações na granulometria sedimentar, composição, reações de redução/oxidação, adsorção/dessorção e transporte físico, além de insumos antropogênicos (BASAHAM; EL-SAYED, 1997; DE JESUS et al., 2004; KHLIFI; HAMZA-CHAFFAI, 2010). Por outro lado, variações no potencial Hidrogeniônico (pH), potêncial de oxirredução (Eh), salinidade, disponibilidade de matéria orgânica, ligantes inorgânicos ou orgânicos, força iônica, disponibilidade de agentes complexantes, podem afetar a mobilidade dos metais pesados, podendo-os fazer retornar a coluna d’água (DE JESUS et al., 2004; COTTA, 2006; FERREIRA et al., 2010). Assim, o sedimento serve como reservatório de metais pesados, agindo como a principal fonte desses elementos nos ecossistemas costeiros. Portanto, merece atenção na avaliação da qualidade ambiental aquática.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Potencialmente, compostos tóxicos, especialmente metais pesados, são adsorvidos em partículas minerais ou orgânicas, tanto em suas formas orgânicas quanto inorgânicas (FORSTNER; WITTMAN, 1983; KABATA-PENDIAS; PENDIAS, 2000). A matéria orgânica contida no sedimento apresenta grande afinidade por metais-traço, devido à presença de grupos fenólicos e carboxílicos. Desta maneira, podendo gerar sítios de adsorção ou agentes quelante no solo. O quelato formado poderá manter o metal em solução, favorecer o transporte ou torná-lo indisponível pela precipitação (GIUSTI; WILLIAMSON; MISTRY, 2011).</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características físicas e químicas dos sedimentos fornecem uma visão do grau de acúmulo de elementos potencialmente tóxicos no leito marinho e, portanto, indicam os possíveis efeitos adversos para a biota local. As macrófitas, os moluscos e os peixes são influenciados pela composição metálica dos sedimentos e a qualidade dos sedimentos desempenha um papel importante na saúde destes organismos. Por sua vez, algas marinhas e bivalves marinhos são considerados indicadores biológicos e servem como ferramentas para avaliar a qualidade da água de ecossistemas (GIUSTI; WILLIAMSON; MISTRY, 2011)</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auto"/>
          <w:spacing w:val="0"/>
          <w:position w:val="0"/>
          <w:sz w:val="24"/>
          <w:shd w:fill="auto" w:val="clear"/>
        </w:rPr>
        <w:t xml:space="preserve">. Estudos sobre a distribuição de metais traços em sedimentos e outros meios são de grande importância no contexto da poluição ambiental (HOWARI, 2005).</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metais pesados/traço podem ser tóxicos tanto para biota, conforme já descrito acima, quanto para a o homem, pois podem sofrer efeitos cumulativos de bioconcentração, bioacumulação e biomagnificação ao longo da cadeia trófica, chegando aos seres humanos de forma a causar danos a sua saúde (COSTA et al., 2008).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160" w:line="259"/>
        <w:ind w:right="0" w:left="708" w:firstLine="0"/>
        <w:jc w:val="left"/>
        <w:rPr>
          <w:rFonts w:ascii="Times New Roman" w:hAnsi="Times New Roman" w:cs="Times New Roman" w:eastAsia="Times New Roman"/>
          <w:b/>
          <w:color w:val="auto"/>
          <w:spacing w:val="15"/>
          <w:position w:val="0"/>
          <w:sz w:val="24"/>
          <w:shd w:fill="auto" w:val="clear"/>
        </w:rPr>
      </w:pPr>
      <w:r>
        <w:rPr>
          <w:rFonts w:ascii="Times New Roman" w:hAnsi="Times New Roman" w:cs="Times New Roman" w:eastAsia="Times New Roman"/>
          <w:b/>
          <w:color w:val="auto"/>
          <w:spacing w:val="15"/>
          <w:position w:val="0"/>
          <w:sz w:val="24"/>
          <w:shd w:fill="auto" w:val="clear"/>
        </w:rPr>
        <w:t xml:space="preserve">2.3. Metais Pesados e a saúde humana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metais pesados ​​entram no meio ambiente por meios naturais e antropogênicos. Muito embora alguns indivíduos sejam expostos a esses contaminantes em seus locais de trabalho, a maioria das pessoas é exposta a esses elementos tóxicos por meio da alimentação, seja por ingestão de comida ou água contaminada. A cadeia de contaminação por metais pesados ​​quase sempre segue uma ordem cíclica: indústria, atmosfera, solo, água, alimentos e humanos (MORAIS et al., 2012).</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Alguns metais pesados exercem funções bioquímicas e fisiológicas essenciais em plantas e animais. Eles são constituintes importantes de várias enzimas-chave e desempenham papéis importantes em várias reações de oxi-redução (WHO, 1996). Metais como o Cr, Mn, Co, Ni e Cu estão envolvidos em processos metabólicos do organismo e no transporte de energia; o Zn está relacionado ao crescimento infantil; o Na e o K estão associados a manutenção celular e o Fe está envolvido no processo de incorporação e transporte de oxigênio no corpo humano (MASSABNI, 2006). No entanto, em altas concentrações, de alguns metais, podem ser prejudiciais à saúde humana, devido à toxicidade e efeitos cumulativos, gerando danos fisiológicos, intoxicação aguda, efeitos mutagênicos e até mesmo morte do indivíduo (JIMENEZ; DAL BOSCO; CARVALHO, 2004).</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Neste ponto, muitos esforços têm sido feitos na avaliação de riscos à saúde por metais pesados. Relatos da literatura mostram que, em sistemas biológicos metais pesados afetam organelas e componentes celulares, como membrana celular e mitocondrial, lisossomas, retículo endoplasmático, núcleos e algumas enzimas envolvidas no metabolismo, na desintoxicação e no reparo de danos (WANG; SHI, 2001; BEYERSMANN; HARTWIG, 2008). Estudos tem demonstrado que a produção de espécies reativas de oxigênio e o estresse oxidativo representam um papel fundamental na toxicidade e carcinogenicidade de metais como Pb e Hg (TCHOUNWOU et al., 2004; SUTTON; TCHOUNWOU, 2007). Esses metais, juntamente com As, Cr e Cd, apresentam alto grau de toxicidade, reconhecidos por induzirem danos a múltiplos órgãos, mesmo em baixas concentrações (WHO, 1996).</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keepNext w:val="true"/>
        <w:keepLines w:val="true"/>
        <w:spacing w:before="0" w:after="240" w:line="259"/>
        <w:ind w:right="0" w:left="357" w:firstLine="357"/>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2.4. Metais Pesados avaliados neste trabalho </w:t>
      </w:r>
    </w:p>
    <w:p>
      <w:pPr>
        <w:spacing w:before="0" w:after="0" w:line="360"/>
        <w:ind w:right="0" w:left="0" w:firstLine="709"/>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59"/>
        <w:ind w:right="0" w:left="0" w:firstLine="709"/>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2.4.1. Alumínio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alumínio é um dos elementos mais abundante encontrado na crosta terrestre, ocorrendo naturalmente no ar, na água e no solo. Processos naturais ou antrópicos podem elevar sua concentração no meio ambiente (ATSDR, 2010; GUPTA; GAURAV; KUMAR, 2013).</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Investigações sobre toxicologia ambiental revelaram que o alumínio pode representar uma grande ameaça para seres humanos, animais e plantas, causando muitas doenças (BARABASZ et al., 2002). Organismos vivos na água são afetados pela toxicidade do Al (BEZAK-MAZUR, 2001). O alumínio não tem papel biológico e é um metal não-essencial tóxico para os microrganismos (OLANIRAN; BALGOBIND; PILLAY, 2013).</w:t>
      </w:r>
    </w:p>
    <w:p>
      <w:pPr>
        <w:spacing w:before="0" w:after="0" w:line="36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Relacionado a seres humanos, a toxicidade do alumínio, provavelmente, resulta da interação entre o alumínio e a membrana plasmática (KOCHIAN et al., 2005). O Mg</w:t>
      </w:r>
      <w:r>
        <w:rPr>
          <w:rFonts w:ascii="Times New Roman" w:hAnsi="Times New Roman" w:cs="Times New Roman" w:eastAsia="Times New Roman"/>
          <w:color w:val="auto"/>
          <w:spacing w:val="0"/>
          <w:position w:val="0"/>
          <w:sz w:val="24"/>
          <w:shd w:fill="auto" w:val="clear"/>
          <w:vertAlign w:val="superscript"/>
        </w:rPr>
        <w:t xml:space="preserve">2+</w:t>
      </w:r>
      <w:r>
        <w:rPr>
          <w:rFonts w:ascii="Times New Roman" w:hAnsi="Times New Roman" w:cs="Times New Roman" w:eastAsia="Times New Roman"/>
          <w:color w:val="auto"/>
          <w:spacing w:val="0"/>
          <w:position w:val="0"/>
          <w:sz w:val="24"/>
          <w:shd w:fill="auto" w:val="clear"/>
        </w:rPr>
        <w:t xml:space="preserve"> e o Fe</w:t>
      </w:r>
      <w:r>
        <w:rPr>
          <w:rFonts w:ascii="Times New Roman" w:hAnsi="Times New Roman" w:cs="Times New Roman" w:eastAsia="Times New Roman"/>
          <w:color w:val="auto"/>
          <w:spacing w:val="0"/>
          <w:position w:val="0"/>
          <w:sz w:val="24"/>
          <w:shd w:fill="auto" w:val="clear"/>
          <w:vertAlign w:val="superscript"/>
        </w:rPr>
        <w:t xml:space="preserve">3+</w:t>
      </w:r>
      <w:r>
        <w:rPr>
          <w:rFonts w:ascii="Times New Roman" w:hAnsi="Times New Roman" w:cs="Times New Roman" w:eastAsia="Times New Roman"/>
          <w:color w:val="auto"/>
          <w:spacing w:val="0"/>
          <w:position w:val="0"/>
          <w:sz w:val="24"/>
          <w:shd w:fill="auto" w:val="clear"/>
        </w:rPr>
        <w:t xml:space="preserve"> são substituídos pelo Al</w:t>
      </w:r>
      <w:r>
        <w:rPr>
          <w:rFonts w:ascii="Times New Roman" w:hAnsi="Times New Roman" w:cs="Times New Roman" w:eastAsia="Times New Roman"/>
          <w:color w:val="auto"/>
          <w:spacing w:val="0"/>
          <w:position w:val="0"/>
          <w:sz w:val="24"/>
          <w:shd w:fill="auto" w:val="clear"/>
          <w:vertAlign w:val="superscript"/>
        </w:rPr>
        <w:t xml:space="preserve">3+</w:t>
      </w:r>
      <w:r>
        <w:rPr>
          <w:rFonts w:ascii="Times New Roman" w:hAnsi="Times New Roman" w:cs="Times New Roman" w:eastAsia="Times New Roman"/>
          <w:color w:val="auto"/>
          <w:spacing w:val="0"/>
          <w:position w:val="0"/>
          <w:sz w:val="24"/>
          <w:shd w:fill="auto" w:val="clear"/>
        </w:rPr>
        <w:t xml:space="preserve">, o que causa muitos distúrbios associados à comunicação intercelular, crescimento celular e funções secretoras. As alterações evocadas nos neurônios pelo alumínio são semelhantes às lesões degenerativas observadas em pacientes com Alzheimer. As maiores complicações da toxicidade do alumínio são os efeitos da neurotoxicidade, como atrofia neuronal no </w:t>
      </w:r>
      <w:r>
        <w:rPr>
          <w:rFonts w:ascii="Times New Roman" w:hAnsi="Times New Roman" w:cs="Times New Roman" w:eastAsia="Times New Roman"/>
          <w:i/>
          <w:color w:val="auto"/>
          <w:spacing w:val="0"/>
          <w:position w:val="0"/>
          <w:sz w:val="24"/>
          <w:shd w:fill="auto" w:val="clear"/>
        </w:rPr>
        <w:t xml:space="preserve">locus ceruleus</w:t>
      </w:r>
      <w:r>
        <w:rPr>
          <w:rFonts w:ascii="Times New Roman" w:hAnsi="Times New Roman" w:cs="Times New Roman" w:eastAsia="Times New Roman"/>
          <w:color w:val="auto"/>
          <w:spacing w:val="0"/>
          <w:position w:val="0"/>
          <w:sz w:val="24"/>
          <w:shd w:fill="auto" w:val="clear"/>
        </w:rPr>
        <w:t xml:space="preserve">, substância negra e estriado (JAISHANKAR et al., 2014).</w:t>
      </w:r>
    </w:p>
    <w:p>
      <w:pPr>
        <w:spacing w:before="0" w:after="0" w:line="360"/>
        <w:ind w:right="0" w:left="0" w:firstLine="709"/>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59"/>
        <w:ind w:right="0" w:left="0" w:firstLine="709"/>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2.4.2. Arsênio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arsênio é um semi-metal. Raramente encontrado como elemento livre no ambiente natural, sendo mais comumente encontrado como componente de minérios contendo enxofre, no qual ocorre na forma de arsenatos de metal (SINGH et al., 2007). O arsênio é amplamente distribuído nas águas naturais e é frequentemente associado a fontes geológicas, mas insumos antropogênicos, como inseticidas contendo arsênio e a combustão de combustíveis fósseis, podem ser fontes adicionais extremamente importantes. O arsênio ocorre em águas naturais nos estados de oxidação III e V, na forma de ácido arsênico (H</w:t>
      </w:r>
      <w:r>
        <w:rPr>
          <w:rFonts w:ascii="Times New Roman" w:hAnsi="Times New Roman" w:cs="Times New Roman" w:eastAsia="Times New Roman"/>
          <w:color w:val="auto"/>
          <w:spacing w:val="0"/>
          <w:position w:val="0"/>
          <w:sz w:val="24"/>
          <w:shd w:fill="auto" w:val="clear"/>
          <w:vertAlign w:val="subscript"/>
        </w:rPr>
        <w:t xml:space="preserve">3</w:t>
      </w:r>
      <w:r>
        <w:rPr>
          <w:rFonts w:ascii="Times New Roman" w:hAnsi="Times New Roman" w:cs="Times New Roman" w:eastAsia="Times New Roman"/>
          <w:color w:val="auto"/>
          <w:spacing w:val="0"/>
          <w:position w:val="0"/>
          <w:sz w:val="24"/>
          <w:shd w:fill="auto" w:val="clear"/>
        </w:rPr>
        <w:t xml:space="preserve">AsO</w:t>
      </w:r>
      <w:r>
        <w:rPr>
          <w:rFonts w:ascii="Times New Roman" w:hAnsi="Times New Roman" w:cs="Times New Roman" w:eastAsia="Times New Roman"/>
          <w:color w:val="auto"/>
          <w:spacing w:val="0"/>
          <w:position w:val="0"/>
          <w:sz w:val="24"/>
          <w:shd w:fill="auto" w:val="clear"/>
          <w:vertAlign w:val="subscript"/>
        </w:rPr>
        <w:t xml:space="preserve">3</w:t>
      </w:r>
      <w:r>
        <w:rPr>
          <w:rFonts w:ascii="Times New Roman" w:hAnsi="Times New Roman" w:cs="Times New Roman" w:eastAsia="Times New Roman"/>
          <w:color w:val="auto"/>
          <w:spacing w:val="0"/>
          <w:position w:val="0"/>
          <w:sz w:val="24"/>
          <w:shd w:fill="auto" w:val="clear"/>
        </w:rPr>
        <w:t xml:space="preserve">) e seus sais, e ácido arsenioso (H</w:t>
      </w:r>
      <w:r>
        <w:rPr>
          <w:rFonts w:ascii="Times New Roman" w:hAnsi="Times New Roman" w:cs="Times New Roman" w:eastAsia="Times New Roman"/>
          <w:color w:val="auto"/>
          <w:spacing w:val="0"/>
          <w:position w:val="0"/>
          <w:sz w:val="24"/>
          <w:shd w:fill="auto" w:val="clear"/>
          <w:vertAlign w:val="subscript"/>
        </w:rPr>
        <w:t xml:space="preserve">3</w:t>
      </w:r>
      <w:r>
        <w:rPr>
          <w:rFonts w:ascii="Times New Roman" w:hAnsi="Times New Roman" w:cs="Times New Roman" w:eastAsia="Times New Roman"/>
          <w:color w:val="auto"/>
          <w:spacing w:val="0"/>
          <w:position w:val="0"/>
          <w:sz w:val="24"/>
          <w:shd w:fill="auto" w:val="clear"/>
        </w:rPr>
        <w:t xml:space="preserve">AsO5), respectivamente (SAWYER; MCCARTY; PARKIN, 2003).</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análise dos efeitos tóxicos do arsênico é complexa, pois sua toxicidade é influenciada por seu estado de oxidação e solubilidade, assim como por fatores intrínsecos e extrínsecos (CENTENO et al., 2005). Vários estudos indicaram que a toxicidade do arsênico depende da dose, frequência e duração da exposição, das espécies biológicas, idade e sexo, bem como das susceptibilidades individuais, fatores genéticos e nutricionais (ABERNATHY et al., 1999). O arsênio inorgânico é considerado cancerígeno e está relacionado principalmente a doenças pulmonares, renais, da bexiga e da pele (ATSDR, 2003). A toxicidade do arsênico em sua forma inorgânica é conhecida há décadas sob as seguintes formas: toxicidade aguda, toxicidade subcrônica, toxicidade genética, toxicidade no desenvolvimento e na reprodução (CHAKRABORTI et al., 2004), imunotoxicidade (SAKURAI et al., 2004), toxicidade bioquímica e celular e toxicidade crônica (OEHHA, 2004; MUDHOO et al., 2011).</w:t>
      </w:r>
    </w:p>
    <w:p>
      <w:pPr>
        <w:keepNext w:val="true"/>
        <w:keepLines w:val="true"/>
        <w:spacing w:before="120" w:after="120" w:line="259"/>
        <w:ind w:right="0" w:left="0" w:firstLine="709"/>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2.4.3. Bário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bário (Ba) é um metal alcalino-terroso encontrado no ambiente no estado de oxidação 2+. Sendo ele ou seus compostos (carbonato de bário, sulfato, cloreto e hidróxido) usados em cerâmica, eletrônica, inseticidas, pigmentos e como meio de contraste de raios-x. O bário é relativamente abundante na natureza e é encontrado em plantas, a exemplo de castanhas do Brasil, e tecidos animais, como os animais marinhos (ATSDR, 2007).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exposição ocupacional ao bário ocorre principalmente em trabalhadores que inalam sulfato de bário por trabalhar com poeira de minério, durante a mineração e fabricação. Sendo os sintomas desta exposição ou ingestão de dose tóxica (&gt; 200 mg), vômito intratável, diarreia grave e hemorragia gastrointestinal. O mecanismo de toxicidade provavelmente envolve o bloqueio dos canais de potássio ativados por cálcio, responsáveis pelo efluxo celular de potássio nos cardiomiócitos e nos músculos (ATSDR, 2007). </w:t>
      </w:r>
    </w:p>
    <w:p>
      <w:pPr>
        <w:spacing w:before="0" w:after="0" w:line="360"/>
        <w:ind w:right="0" w:left="0" w:firstLine="709"/>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59"/>
        <w:ind w:right="0" w:left="0" w:firstLine="709"/>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2.4.4. Cádmio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O Cd é um metal pesado com considerável preocupação ambiental e ocupacional. É amplamente distribuído na crosta terrestre, sendo encontrado principalmente nas rochas sedimentares. Suas principais aplicações industriais incluem produção de ligas, pigmentos e baterias. Embora seu uso em baterias tenha mostrado um crescimento considerável nos últimos anos, o uso comercial tem diminuído nos países desenvolvidos em resposta a preocupações ambientais (TCHOUNWOU et al., 2012).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Cd apresenta formas solúveis e não solúveis, por isso é possível encontrá-lo na coluna d´água na forma dissolvida ou aderida a sedimentos por meio de adsorção e, além disso, possui capacidade bioacumulativa (SALOMONS; FORSTNER,1984). A principal via de exposição de seres humanos a cádmio é por meio de alimentos e bebidas contaminados e também por meio fumo habitual. O acúmulo de cádmio no organismo pode estar relacionado a doenças no sistema circulatório, alterações e mau funcionamento de partes do sistema nervoso (FERNANDES; MANAIER, 2014). Exposições a baixas concentrações desse metal podem causar problemas no sistema digestório. Já altas exposições podem afetar o sistema ósseo e respiratório, não obstante a tal fato o Cd e seus compostos são cancerígenos para humanos (TCHOUNWOU et al., 2012).</w:t>
      </w:r>
    </w:p>
    <w:p>
      <w:pPr>
        <w:spacing w:before="0" w:after="0" w:line="360"/>
        <w:ind w:right="0" w:left="0" w:firstLine="709"/>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59"/>
        <w:ind w:right="0" w:left="0" w:firstLine="709"/>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2.4.5. Cobre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Cu é um metal de transição maleável, de cor avermelhada, usado a muitos anos pelo homem. É um elemento essencial amplamente distribuído na natureza. Alimentos, bebidas e água potável são as principais fontes de exposição na população em geral (UFELLE; BARCHOWSKY, 2019).</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exposição ao cobre dentro da indústria ocorre, principalmente, por meio de partículas inaladas em mineração ou fumaça de metal em operações de fundição, soldagem ou atividades relacionadas. Na população em geral, a exposição a níveis tóxicos de cobre pode ocorrer por meio da lixiviação de metal do encanamento de cobre ou utensílios de cozinha revestidos a cobre (ATSDR, 2004). Os efeitos adversos à saúde mais comumente relatados pelo excesso de ingestão oral de cobre são problemas gastrointestinais com náusea, vômito e dor abdominal. O excesso de cobre na água representa um fator de risco significativo para o ambiente aquático, produzindo perturbações endócrinas e outros efeitos tóxicos em peixes (HANDY, 2003; ARNOLD et al., 2009).</w:t>
      </w:r>
    </w:p>
    <w:p>
      <w:pPr>
        <w:spacing w:before="0" w:after="0" w:line="360"/>
        <w:ind w:right="0" w:left="0" w:firstLine="709"/>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59"/>
        <w:ind w:right="0" w:left="0" w:firstLine="709"/>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2.4.6. Cromo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Cr ocorre em vários estados de oxidação no ambiente, desde Cr</w:t>
      </w:r>
      <w:r>
        <w:rPr>
          <w:rFonts w:ascii="Times New Roman" w:hAnsi="Times New Roman" w:cs="Times New Roman" w:eastAsia="Times New Roman"/>
          <w:color w:val="auto"/>
          <w:spacing w:val="0"/>
          <w:position w:val="0"/>
          <w:sz w:val="24"/>
          <w:shd w:fill="auto" w:val="clear"/>
          <w:vertAlign w:val="superscript"/>
        </w:rPr>
        <w:t xml:space="preserve">2+</w:t>
      </w:r>
      <w:r>
        <w:rPr>
          <w:rFonts w:ascii="Times New Roman" w:hAnsi="Times New Roman" w:cs="Times New Roman" w:eastAsia="Times New Roman"/>
          <w:color w:val="auto"/>
          <w:spacing w:val="0"/>
          <w:position w:val="0"/>
          <w:sz w:val="24"/>
          <w:shd w:fill="auto" w:val="clear"/>
        </w:rPr>
        <w:t xml:space="preserve"> a Cr</w:t>
      </w:r>
      <w:r>
        <w:rPr>
          <w:rFonts w:ascii="Times New Roman" w:hAnsi="Times New Roman" w:cs="Times New Roman" w:eastAsia="Times New Roman"/>
          <w:color w:val="auto"/>
          <w:spacing w:val="0"/>
          <w:position w:val="0"/>
          <w:sz w:val="24"/>
          <w:shd w:fill="auto" w:val="clear"/>
          <w:vertAlign w:val="superscript"/>
        </w:rPr>
        <w:t xml:space="preserve">6+</w:t>
      </w:r>
      <w:r>
        <w:rPr>
          <w:rFonts w:ascii="Times New Roman" w:hAnsi="Times New Roman" w:cs="Times New Roman" w:eastAsia="Times New Roman"/>
          <w:color w:val="auto"/>
          <w:spacing w:val="0"/>
          <w:position w:val="0"/>
          <w:sz w:val="24"/>
          <w:shd w:fill="auto" w:val="clear"/>
        </w:rPr>
        <w:t xml:space="preserve">. As formas mais comuns de Cr são trivalentes - Cr</w:t>
      </w:r>
      <w:r>
        <w:rPr>
          <w:rFonts w:ascii="Times New Roman" w:hAnsi="Times New Roman" w:cs="Times New Roman" w:eastAsia="Times New Roman"/>
          <w:color w:val="auto"/>
          <w:spacing w:val="0"/>
          <w:position w:val="0"/>
          <w:sz w:val="24"/>
          <w:shd w:fill="auto" w:val="clear"/>
          <w:vertAlign w:val="superscript"/>
        </w:rPr>
        <w:t xml:space="preserve">3+</w:t>
      </w:r>
      <w:r>
        <w:rPr>
          <w:rFonts w:ascii="Times New Roman" w:hAnsi="Times New Roman" w:cs="Times New Roman" w:eastAsia="Times New Roman"/>
          <w:color w:val="auto"/>
          <w:spacing w:val="0"/>
          <w:position w:val="0"/>
          <w:sz w:val="24"/>
          <w:shd w:fill="auto" w:val="clear"/>
        </w:rPr>
        <w:t xml:space="preserve"> e hexavalente - Cr</w:t>
      </w:r>
      <w:r>
        <w:rPr>
          <w:rFonts w:ascii="Times New Roman" w:hAnsi="Times New Roman" w:cs="Times New Roman" w:eastAsia="Times New Roman"/>
          <w:color w:val="auto"/>
          <w:spacing w:val="0"/>
          <w:position w:val="0"/>
          <w:sz w:val="24"/>
          <w:shd w:fill="auto" w:val="clear"/>
          <w:vertAlign w:val="superscript"/>
        </w:rPr>
        <w:t xml:space="preserve">6+</w:t>
      </w:r>
      <w:r>
        <w:rPr>
          <w:rFonts w:ascii="Times New Roman" w:hAnsi="Times New Roman" w:cs="Times New Roman" w:eastAsia="Times New Roman"/>
          <w:color w:val="auto"/>
          <w:spacing w:val="0"/>
          <w:position w:val="0"/>
          <w:sz w:val="24"/>
          <w:shd w:fill="auto" w:val="clear"/>
        </w:rPr>
        <w:t xml:space="preserve">, com ambos os estados sendo tóxicos para animais, seres humanos e plantas (MOHANTY; KUMAR PATRA, 2013). O cromo ocorre naturalmente, associados a óxidos, sais básicos e sulfatos. No entanto, antropogenicamente, o cromo é liberado no meio ambiente através de queima de óleo e carvão, esgotos e fertilizantes (GHANI, 2011).</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Cr na forma hexavalente apresenta-se com maior toxicidade para a biota, sendo alguns compostos considerados carcinógenos para animais e seres humanos (TCHOUNWOU et al., 2012).</w:t>
      </w:r>
    </w:p>
    <w:p>
      <w:pPr>
        <w:spacing w:before="0" w:after="0" w:line="360"/>
        <w:ind w:right="0" w:left="0" w:firstLine="709"/>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59"/>
        <w:ind w:right="0" w:left="0" w:firstLine="709"/>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2.4.7. Ferro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Fe é um dos metais mais abundante na crosta terrestre (EPA, 1993), sendo um elemento crucial para o crescimento e a sobrevivência de quase todos os organismos vivos (VALKO; MORRIS; CRONIN, 2005). É um dos componentes vitais dos organismos, participando da composição de enzimas como citocromos e catalase, além de proteínas transportadoras de oxigênio, como hemoglobina e mioglobina (VUORI, 1995).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contaminação ambiental por ferro pode ocorrer de maneira natural como escoamento superficial do metal e meteoritos ou desgaste natural de rochas contendo o minério de ferro, e de maneira antrópica, por meio da emissão de material particulado por empresas metalúrgicas, efluentes industriais, esgotos domésticos, entre outros (DE LIMA; PEDROZO, 2001).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exposição ao Fe pode ocorrer por meio da alimentação, através de transfusão sanguínea ou uso não adequado de sais de ferro. Os sintomas de envenenamento agudo por Fe incluem dor abdominal, diarreia e vômito, podendo aparecer palidez, acidose metabólica, lesão hepática e colapso cardíaco, que são sintomas muito preocupantes. Em casos de intoxicação crônica, o excesso de ferro está associado à hematomacrose hereditária, hemossiderose secundária. Podendo seu acúmulo ter efeito sobre o coração, fígado (UFELLE; BARCHOWSKY, 2019).</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keepNext w:val="true"/>
        <w:keepLines w:val="true"/>
        <w:spacing w:before="120" w:after="120" w:line="259"/>
        <w:ind w:right="0" w:left="0" w:firstLine="709"/>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2.4.8. Manganês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Mn elemento é essencial para muitas funções metabólicas, celulares e estruturais no organismo humano. As metaloenzimas do manganês incluem arginase, glutamina sintetase e fosfoenolpiruvato descarboxilase (PERES et al., 2016). O manganês também é um cofator para várias reações enzimáticas. Existe em muitas valências, mas o cátion divalente é a espécie predominante nas células. O Mn</w:t>
      </w:r>
      <w:r>
        <w:rPr>
          <w:rFonts w:ascii="Times New Roman" w:hAnsi="Times New Roman" w:cs="Times New Roman" w:eastAsia="Times New Roman"/>
          <w:color w:val="auto"/>
          <w:spacing w:val="0"/>
          <w:position w:val="0"/>
          <w:sz w:val="24"/>
          <w:shd w:fill="auto" w:val="clear"/>
          <w:vertAlign w:val="superscript"/>
        </w:rPr>
        <w:t xml:space="preserve">2+</w:t>
      </w:r>
      <w:r>
        <w:rPr>
          <w:rFonts w:ascii="Times New Roman" w:hAnsi="Times New Roman" w:cs="Times New Roman" w:eastAsia="Times New Roman"/>
          <w:color w:val="auto"/>
          <w:spacing w:val="0"/>
          <w:position w:val="0"/>
          <w:sz w:val="24"/>
          <w:shd w:fill="auto" w:val="clear"/>
        </w:rPr>
        <w:t xml:space="preserve"> pode ser oxidado para a forma trivalente mais reativa e tóxica. A principal fonte de ingestão de manganês é de alimentos, como legumes, grãos, frutas, nozes e chás, que são ricos em manganês (ATSDR, 2012).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exposição ao Mn pode ocorrer em minas, fundições, fábricas que produzem bobinas elétricas, baterias, vidro e barras de solda e durante a produção de permanganato de potássio (ATSDR, 2012). As exposições ambientais são frequentemente associadas a pesticidas organometálicos baseados em manganês, assim como a comunidades localizadas nas proximidades de instalações industriais de manganês (HAYNES et al., 2015).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intoxicação por Mn, os efeitos neurológicos são os mais significativos, em que os primeiros sintomas incluem dor de cabeça, insônia, perda de memória, cãibras musculares e instabilidade emocional. Os sintomas externos iniciais progridem gradualmente e são principalmente psiquiátricos (PEREZ et al., 2016). O aparelho respiratório também reage à exposição, que resulta em uma pneumonite química que, em geral, não leva a lesões permanentes ou fibrose (GOMES; COLACIOPPO, 2009). </w:t>
      </w:r>
    </w:p>
    <w:p>
      <w:pPr>
        <w:spacing w:before="0" w:after="0" w:line="360"/>
        <w:ind w:right="0" w:left="0" w:firstLine="709"/>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59"/>
        <w:ind w:right="0" w:left="0" w:firstLine="709"/>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2.4.9. Níquel</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Ni é encontrado principalmente combinado com oxigênio, enxofre e com vários minerais que ocorrem naturalmente na crosta terrestre (ATSDR, 2005; DAS et al.,</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2008). É um elemento de transição e níquel forma uma grande quantidade de compostos e complexos, nos quais apresenta os estados de oxidação -1, 0, +1, +2, +3, +4. Embora possa existir em vários estados de oxidação, o mais importante sob condições ambientais é aquele que apresenta o estado de valência +2 (HABER et al., 2000).</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contaminação ambiental por Ni ocorre naturalmente e antropologicamente. A fonte natural inclui meteoritos, vulcões, a poeira do solo e os incêndios florestais, com tamanho de partículas variando de 2-10 </w:t>
      </w:r>
      <w:r>
        <w:rPr>
          <w:rFonts w:ascii="Times New Roman" w:hAnsi="Times New Roman" w:cs="Times New Roman" w:eastAsia="Times New Roman"/>
          <w:color w:val="auto"/>
          <w:spacing w:val="0"/>
          <w:position w:val="0"/>
          <w:sz w:val="24"/>
          <w:shd w:fill="auto" w:val="clear"/>
        </w:rPr>
        <w:t xml:space="preserve">μm. As fontes antropog</w:t>
      </w:r>
      <w:r>
        <w:rPr>
          <w:rFonts w:ascii="Times New Roman" w:hAnsi="Times New Roman" w:cs="Times New Roman" w:eastAsia="Times New Roman"/>
          <w:color w:val="auto"/>
          <w:spacing w:val="0"/>
          <w:position w:val="0"/>
          <w:sz w:val="24"/>
          <w:shd w:fill="auto" w:val="clear"/>
        </w:rPr>
        <w:t xml:space="preserve">ênicas incluem a mineração, fundição e refinamento de metal, queima de combustíveis fósseis, produção de plástico e incineração de esgoto. A concentração de níquel no ar está aumentada em áreas industrializadas. Uma elevada concentração de níquel é frequentemente encontrada na água de lagos próximo as áreas industriais. Baterias de níquel-cádmio também são uma fonte potencial de poluição de níquel na água, que pode resultar a lixiviação de depósitos desses resíduos (YU; TSUNODA, 2004).</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intoxicação por Ni leva a inibição de uma série de enzimas no organismo humano, incluindo urease e monóxido de carbono desidrogenase (YU; TSUNODA, 2004). A exposição aos compostos de níquel pode ter efeitos degenerativos no tecido hepático (DAS et al., 2006), levar a complicações renais (OBONE et al., 1999), retratibilidade dos túbulos seminíferos e diminuição do número de espermatogônias (KÄKELÄ; KÄKELÄ; HYVARINEN, 1999). Além disso, a exposição ao níquel eleva a peroxidação lipídica testicular e suprime atividades das enzimas antioxidantes (GUPTA et al., 2007).</w:t>
      </w:r>
    </w:p>
    <w:p>
      <w:pPr>
        <w:spacing w:before="0" w:after="0" w:line="360"/>
        <w:ind w:right="0" w:left="0" w:firstLine="709"/>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59"/>
        <w:ind w:right="0" w:left="0" w:firstLine="709"/>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2.4.10. Chumbo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chumbo é um metal cinza-azulado que ocorre naturalmente, presente em pequenas quantidades na crosta terrestre. Embora o chumbo ocorra naturalmente no meio ambiente, atividades antropogênicas, como queima de combustíveis fósseis, mineração e manufatura, contribuem para a liberação de altas concentrações. O chumbo tem diferentes aplicações como industriais, agrícolas e domésticas. Atualmente, é usado na produção de baterias de chumbo-ácido, munições, produtos de metal (solda e tubos) e dispositivos para proteger os raios-X (TCHOUNWOU et al., 2012).</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exposição ao chumbo ocorre principalmente pela inalação de partículas de poeira ou aerossóis contaminados com chumbo e pela ingestão de alimentos, água e tintas contaminados com chumbo, sendo a absorção de chumbo influenciada por fatores como idade e condições fisiológicas (UFELLE; BARCHOWSKY, 2019).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chumbo pode induzir diversos efeitos adversos em humanos, dependendo da dose e duração da exposição. Os efeitos tóxicos variam desde a inibição enzimática à produção de patologia grave ou morte (ATSDR, 1999). Na intoxicação aguda por Pb os sintomas mais comuns são vômitos recorrentes, dor de cabeça, estupor, alucinações, convulsões, tremores e coma; já na intoxicação crônica o sistema nervoso central e o periférico podem ser afetados, causando irritabilidade, inquietação e perda de memória. Outros tecidos alvo incluem os sistemas gastrointestinal, imunológico, esquelético e reprodutivo. Os efeitos na biossíntese do grupo heme fornecem um indicador bioquímico sensível, mesmo na ausência de outros efeitos detectáveis (UFELLE; BARCHOWSKY, 2019). </w:t>
      </w:r>
    </w:p>
    <w:p>
      <w:pPr>
        <w:spacing w:before="0" w:after="0" w:line="360"/>
        <w:ind w:right="0" w:left="0" w:firstLine="709"/>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59"/>
        <w:ind w:right="0" w:left="0" w:firstLine="709"/>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2.4.11. Selênio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selênio é um elemento essencial encontrado ao organismo e a deficiência é reconhecida em humanos e animais (WROBEL; POWER; TOBOREK, 2016). Também é tóxico e altas doses causam intoxicação evidente por selênio (selenose) (ATSDR, 2003; WROBEL; POWER; TOBOREK, 2016). A disponibilidade e o potencial tóxico dos compostos de selênio estão relacionados às suas formas químicas e, mais importante, à solubilidade. O selênio ocorre na natureza e nos sistemas biológicos ou no estado elementar (Se</w:t>
      </w:r>
      <w:r>
        <w:rPr>
          <w:rFonts w:ascii="Times New Roman" w:hAnsi="Times New Roman" w:cs="Times New Roman" w:eastAsia="Times New Roman"/>
          <w:color w:val="auto"/>
          <w:spacing w:val="0"/>
          <w:position w:val="0"/>
          <w:sz w:val="24"/>
          <w:shd w:fill="auto" w:val="clear"/>
          <w:vertAlign w:val="superscript"/>
        </w:rPr>
        <w:t xml:space="preserve">0</w:t>
      </w:r>
      <w:r>
        <w:rPr>
          <w:rFonts w:ascii="Times New Roman" w:hAnsi="Times New Roman" w:cs="Times New Roman" w:eastAsia="Times New Roman"/>
          <w:color w:val="auto"/>
          <w:spacing w:val="0"/>
          <w:position w:val="0"/>
          <w:sz w:val="24"/>
          <w:shd w:fill="auto" w:val="clear"/>
        </w:rPr>
        <w:t xml:space="preserve">) ou em três estados de oxidação Se</w:t>
      </w:r>
      <w:r>
        <w:rPr>
          <w:rFonts w:ascii="Times New Roman" w:hAnsi="Times New Roman" w:cs="Times New Roman" w:eastAsia="Times New Roman"/>
          <w:color w:val="auto"/>
          <w:spacing w:val="0"/>
          <w:position w:val="0"/>
          <w:sz w:val="24"/>
          <w:shd w:fill="auto" w:val="clear"/>
          <w:vertAlign w:val="superscript"/>
        </w:rPr>
        <w:t xml:space="preserve">6+</w:t>
      </w:r>
      <w:r>
        <w:rPr>
          <w:rFonts w:ascii="Times New Roman" w:hAnsi="Times New Roman" w:cs="Times New Roman" w:eastAsia="Times New Roman"/>
          <w:color w:val="auto"/>
          <w:spacing w:val="0"/>
          <w:position w:val="0"/>
          <w:sz w:val="24"/>
          <w:shd w:fill="auto" w:val="clear"/>
        </w:rPr>
        <w:t xml:space="preserve">, Se</w:t>
      </w:r>
      <w:r>
        <w:rPr>
          <w:rFonts w:ascii="Times New Roman" w:hAnsi="Times New Roman" w:cs="Times New Roman" w:eastAsia="Times New Roman"/>
          <w:color w:val="auto"/>
          <w:spacing w:val="0"/>
          <w:position w:val="0"/>
          <w:sz w:val="24"/>
          <w:shd w:fill="auto" w:val="clear"/>
          <w:vertAlign w:val="superscript"/>
        </w:rPr>
        <w:t xml:space="preserve">4+</w:t>
      </w:r>
      <w:r>
        <w:rPr>
          <w:rFonts w:ascii="Times New Roman" w:hAnsi="Times New Roman" w:cs="Times New Roman" w:eastAsia="Times New Roman"/>
          <w:color w:val="auto"/>
          <w:spacing w:val="0"/>
          <w:position w:val="0"/>
          <w:sz w:val="24"/>
          <w:shd w:fill="auto" w:val="clear"/>
        </w:rPr>
        <w:t xml:space="preserve"> e Se</w:t>
      </w:r>
      <w:r>
        <w:rPr>
          <w:rFonts w:ascii="Times New Roman" w:hAnsi="Times New Roman" w:cs="Times New Roman" w:eastAsia="Times New Roman"/>
          <w:color w:val="auto"/>
          <w:spacing w:val="0"/>
          <w:position w:val="0"/>
          <w:sz w:val="24"/>
          <w:shd w:fill="auto" w:val="clear"/>
          <w:vertAlign w:val="superscript"/>
        </w:rPr>
        <w:t xml:space="preserve">2+</w:t>
      </w:r>
      <w:r>
        <w:rPr>
          <w:rFonts w:ascii="Times New Roman" w:hAnsi="Times New Roman" w:cs="Times New Roman" w:eastAsia="Times New Roman"/>
          <w:color w:val="auto"/>
          <w:spacing w:val="0"/>
          <w:position w:val="0"/>
          <w:sz w:val="24"/>
          <w:shd w:fill="auto" w:val="clear"/>
        </w:rPr>
        <w:t xml:space="preserve"> (FAIRWEATHER-TAIT et al., 2011).</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combustão de carvão e outros combustíveis fósseis, bem como a mineração e processamento de carvão com alto teor de selênio são as principais fontes de compostos de selênio no solo, na água e no ar (ATSDR, 2003; CHEN et al., 2014). A exposição ocupacional vem de operações de refino de selênio, fundição de metais e operações de moagem, incineração de pneus de borracha e lixo municipal (ATSDR, 2003).</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intoxicação por ingestão intencional ou acidental de grande dose de selenato de sódio ou selenito de sódio pode ser fatal, em que os sintomas de tal intoxicação incluem náusea e vômito, seguidos por edema pulmonar e colapso cardiovascular rápido (ATSDR, 2003; FAIRWEATHER-TAIT et al., 2011). A toxicidade crônica do selênio (selenose) pode ocorrer com a exposição ambiental quando a ingestão excede a capacidade excretora. Os efeitos são principalmente dérmicos e neurológicos, incluindo perda de cabelo e unhas, descoloração dos dentes, dormência, paralisia e hemiplegia ocasional (ATSDR, 2003).</w:t>
      </w:r>
    </w:p>
    <w:p>
      <w:pPr>
        <w:spacing w:before="0" w:after="0" w:line="360"/>
        <w:ind w:right="0" w:left="0" w:firstLine="709"/>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59"/>
        <w:ind w:right="0" w:left="0" w:firstLine="709"/>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2.4.12. Urânio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urânio natural é encontrado nas rochas e no solo, sendo menos concentrado em rochas básicas (por exemplo, basalto) e maior em rochas ácidas e granito. Está presente tanto nos alimentos quanto na água. No ar, pode ser encontrado através da ressuspensão do urânio do solo para o ar ou por materiais transformados do urânio que são liberados no ar (p. ex, gás radônio). As concentrações ambientais são determinadas por redistribuição por processos naturais (vento, dissolução, erosão hídrica, precipitação, ação vulcânica) e atividades antrópicas (exploração do minério e/ou processamento do urânio), sendo que a última contribui decisivamente para o aumento da exposição humana a esse elemento, sobretudo, através da contaminação da água e alimentos (ATSDR, 2011).</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efeitos tóxicos do urânio natural variam segundo a quantidade absorvida e a velocidade de passagem através do epitélio de proteção. Estudos mostram que o urânio ou o urânio empobrecido podem ser tóxicos ao desenvolvimento quando administrados por via oral ou subcutânea a camundongos. Também existe uma preocupação crescente com a potencial neurotoxicidade produzida pela exposição ao urânio, a redução do crescimento, a osteoporose e ao aumento da incidência de câncer, provavelmente devido a produtos derivados do urânio.   (JIANG; ASCHNER, 2006; ATSDR, 2013; BJORKLUND et al., 2017). </w:t>
      </w:r>
    </w:p>
    <w:p>
      <w:pPr>
        <w:spacing w:before="0" w:after="0" w:line="360"/>
        <w:ind w:right="0" w:left="0" w:firstLine="709"/>
        <w:jc w:val="both"/>
        <w:rPr>
          <w:rFonts w:ascii="Times New Roman" w:hAnsi="Times New Roman" w:cs="Times New Roman" w:eastAsia="Times New Roman"/>
          <w:b/>
          <w:color w:val="auto"/>
          <w:spacing w:val="0"/>
          <w:position w:val="0"/>
          <w:sz w:val="24"/>
          <w:shd w:fill="auto" w:val="clear"/>
        </w:rPr>
      </w:pPr>
    </w:p>
    <w:p>
      <w:pPr>
        <w:keepNext w:val="true"/>
        <w:keepLines w:val="true"/>
        <w:spacing w:before="120" w:after="120" w:line="259"/>
        <w:ind w:right="0" w:left="0" w:firstLine="709"/>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2.4.13. Zinco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Zinco é um metal de cor branca azulada que é encontrado na natureza em rochas e minerais, tais como óxidos e sulfatos. Pode ser liberado no ambiente a partir de fontes antropogênicas e se distribuir quando liberado, na atmosfera e na água. Tem seu uso na fabricação de ligas metálicas, galvanização, construção civil, na indústria automobilística e na fabricação de baterias, dentre outros usos (UFELLE; BARCHOWSKY, 2019).</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um nutriente essencial à saúde humana, pois atua na síntese de proteínas, divisão celular, auxilia na reprodução humana e desenha função imunológica (SENA; PEDROZA, 2005; MASSABNI, 2006; ALLOWAY, 2013). Em humanos, altas concentrações podem causar danos à saúde, pois afeta o pâncreas, causa dermatites, vômitos, cólicas e anemia. (SENA; PEDROZA, 2005; UFELLE; BARCHOWSKY, 2019).</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keepNext w:val="true"/>
        <w:keepLines w:val="true"/>
        <w:spacing w:before="0" w:after="240" w:line="360"/>
        <w:ind w:right="0" w:left="357" w:firstLine="35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2.5. Técnicas Analíticas para determinação de Metais Pesados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Diferentes técnicas podem ser utilizadas para a determinação de metais pesados em diversas matrizes, incluindo amostras ambientais, sendo as mais usadas: Análises por Ativação Neutrônica (INAA), Espectrometria de Absorção Atômica com Chamas (FAAS), Espectrometria Óptica com Plasma Indutivamente Acoplado (ICP-OES), Espectrometria de Massas com Plasma Indutivamente Acoplado (ICP-MS) e Fluorescência de Raio X por Dispersão de Energia (EDX-RF), pois apresentam alta sensibilidade e confiabilidade (HERRERO FERNANDEZ, 2017).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esse trabalho, utilizou-se técnica analítica de Espectrometria de Massa Atômica com Plasma de Indutivamente Acoplado (ICP-MS), devido a sua capacidade de análise multielementar e sensibilidade.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keepNext w:val="true"/>
        <w:keepLines w:val="true"/>
        <w:spacing w:before="120" w:after="120" w:line="360"/>
        <w:ind w:right="0" w:left="0" w:firstLine="709"/>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2.5.1. Espectrometria de Massa Atômica com Plasma de Argônio Indutivamente Acoplado </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 ICP-MS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Espectrometria de massas por plasma indutivamente acoplado (do Inglês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Inductively Coupled Plasma Mass Spectrometry</w:t>
      </w:r>
      <w:r>
        <w:rPr>
          <w:rFonts w:ascii="Times New Roman" w:hAnsi="Times New Roman" w:cs="Times New Roman" w:eastAsia="Times New Roman"/>
          <w:color w:val="auto"/>
          <w:spacing w:val="0"/>
          <w:position w:val="0"/>
          <w:sz w:val="24"/>
          <w:shd w:fill="auto" w:val="clear"/>
        </w:rPr>
        <w:t xml:space="preserve">, ICP-MS) é um tipo de espectrometria de massa atômica capaz de determinar em torno de 70 elementos simultaneamente por meio da razão massa-carga de íons (SKOOG; HOLLER; NIEMAN, 2002). É uma técnica sensível e confiável, que permite determinar metais pesados de forma rápida, multi-elementar e com excelentes limites de detecção, na ordem de nanograma por litro (SKOOG; HOLLER; NIEMAN, 2002; HERRERO FERNANDEZ, 2017).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 ICP-MS (Figura 1) é composto por 5 partes principais, a saber: (a) sistema de introdução de amostras, normalmente um nebulizador; (b) fonte de íons, neste caso o plasma acoplado (ICP) que é uma fonte de alta temperatura que promove a ionização; (c) interface que promove a focalização dos íons, nesta se encontram o cone de amostragem e o skimmer; (d) sistema analisador de massas - Quadrupolo; e (e) sistema de detecção de íons.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59"/>
        <w:ind w:right="0" w:left="0" w:firstLine="0"/>
        <w:jc w:val="center"/>
        <w:rPr>
          <w:rFonts w:ascii="Times New Roman" w:hAnsi="Times New Roman" w:cs="Times New Roman" w:eastAsia="Times New Roman"/>
          <w:color w:val="auto"/>
          <w:spacing w:val="0"/>
          <w:position w:val="0"/>
          <w:sz w:val="24"/>
          <w:shd w:fill="auto" w:val="clear"/>
        </w:rPr>
      </w:pPr>
      <w:r>
        <w:object w:dxaOrig="6689" w:dyaOrig="4190">
          <v:rect xmlns:o="urn:schemas-microsoft-com:office:office" xmlns:v="urn:schemas-microsoft-com:vml" id="rectole0000000000" style="width:334.450000pt;height:209.500000pt" o:preferrelative="t" o:ole="">
            <o:lock v:ext="edit"/>
            <v:imagedata xmlns:r="http://schemas.openxmlformats.org/officeDocument/2006/relationships" r:id="docRId2" o:title=""/>
          </v:rect>
          <o:OLEObject xmlns:r="http://schemas.openxmlformats.org/officeDocument/2006/relationships" xmlns:o="urn:schemas-microsoft-com:office:office" Type="Embed" ProgID="StaticMetafile" DrawAspect="Content" ObjectID="0000000000" ShapeID="rectole0000000000" r:id="docRId1"/>
        </w:object>
      </w:r>
    </w:p>
    <w:p>
      <w:pPr>
        <w:spacing w:before="0" w:after="0" w:line="259"/>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Figura 1.</w:t>
      </w:r>
      <w:r>
        <w:rPr>
          <w:rFonts w:ascii="Times New Roman" w:hAnsi="Times New Roman" w:cs="Times New Roman" w:eastAsia="Times New Roman"/>
          <w:color w:val="auto"/>
          <w:spacing w:val="0"/>
          <w:position w:val="0"/>
          <w:sz w:val="20"/>
          <w:shd w:fill="auto" w:val="clear"/>
        </w:rPr>
        <w:t xml:space="preserve"> Esquema de um espectrômetro de massas com fonte de plasma acoplado indutivamente (ICP-MS). Adaptado de Thermo Scientific.</w:t>
      </w:r>
    </w:p>
    <w:p>
      <w:pPr>
        <w:spacing w:before="0" w:after="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introdução de amostras no ICP-MS é, convencionalmente, como um líquido, pois apresenta vantagens como facilidade de manipulação, homogeneidade e disponibilidade de soluções de referência para calibração, podendo ser, em alguns casos, introduzidas nas formas sólidas e gasosas. O sistema típico de introdução de amostras consiste de uma bomba peristáltica, um nebulizador e uma câmara de nebulização. A amostra é bombeada até o nebulizador que transforma a amostra líquida em um aerossol fino. O aerossol chega à câmara de nebulização que separa as gotas maiores das menores e um fluxo de argônio carrega a amostra já vaporizada até a tocha do ICP, onde a amostra é ionizada (GINÉ-ROSIAS, 1999, MONTASER, 1998; SKOOG, 2015).</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plasma acoplado indutivamente possui uma alta temperatura (6000-8000K), sendo esta uma fonte apropriada para a atomização e ionização de espécies elementares. A sua formação ocorre a partir de uma radiofrequência (RF) gerada por um filamento metálico (bobina) que fica no topo da tocha. Campos elétricos e magnéticos oscilantes são gerados permitindo a excitação do elemento para formar íons (MONTASER, 1998, SKOOG; HOLLER; NIEMAN, 2002).</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plasma é formado na tocha e nele a amostra sofre rapidamente os processos de dessolvatação, vaporização, atomização e ionização. A tocha (Figura 2) consiste de três tubos concêntricos para o transporte de gás. O fluxo de gás externo evita o superaquecimento protegendo as paredes da tocha. O fluxo auxiliar introduzido no tubo intermediário, é utilizado para estabilizar o plasma durante a introdução de amostra. O gás interno também chamado de gás de arraste transporta a amostra nebulizada até o plasma (MONTASER, 1998).</w:t>
      </w:r>
    </w:p>
    <w:p>
      <w:pPr>
        <w:spacing w:before="0" w:after="0" w:line="259"/>
        <w:ind w:right="0" w:left="0" w:firstLine="0"/>
        <w:jc w:val="left"/>
        <w:rPr>
          <w:rFonts w:ascii="Times New Roman" w:hAnsi="Times New Roman" w:cs="Times New Roman" w:eastAsia="Times New Roman"/>
          <w:color w:val="auto"/>
          <w:spacing w:val="0"/>
          <w:position w:val="0"/>
          <w:sz w:val="24"/>
          <w:shd w:fill="auto" w:val="clear"/>
        </w:rPr>
      </w:pPr>
      <w:r>
        <w:object w:dxaOrig="8626" w:dyaOrig="5088">
          <v:rect xmlns:o="urn:schemas-microsoft-com:office:office" xmlns:v="urn:schemas-microsoft-com:vml" id="rectole0000000001" style="width:431.300000pt;height:254.4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p>
    <w:p>
      <w:pPr>
        <w:spacing w:before="0" w:after="0" w:line="259"/>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Figura 2.</w:t>
      </w:r>
      <w:r>
        <w:rPr>
          <w:rFonts w:ascii="Times New Roman" w:hAnsi="Times New Roman" w:cs="Times New Roman" w:eastAsia="Times New Roman"/>
          <w:color w:val="auto"/>
          <w:spacing w:val="0"/>
          <w:position w:val="0"/>
          <w:sz w:val="20"/>
          <w:shd w:fill="auto" w:val="clear"/>
        </w:rPr>
        <w:t xml:space="preserve"> Esquema de uma tocha ICP. A figura mostra os três tubos concêntricos, situados em uma bobina de indução de um gerador de RF. Adaptado de SKOOG; HOLLER; NIEMAN, 2008.</w:t>
      </w:r>
    </w:p>
    <w:p>
      <w:pPr>
        <w:spacing w:before="0" w:after="0" w:line="259"/>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ICP produz íons monocarregados para o espectrômetro de massas (MS). Para transportar os íons para o MS, é usada uma interface com bomba de vácuo de múltiplo estágio. Os íons são extraídos do plasma, que se encontra a pressão atmosférica, para o espectrômetro de massas à baixa pressão, através de um cone de amostragem de platina que se encontra refrigerado. O orifício deste cone tem aproximadamente 1,0 mm de diâmetro. Na região de baixa pressão atrás do cone ocorre expansão do gás, antes, uma fração dos íons passa através de outro cone, denominado skimmer, e a maior parte do Ar (gás) é bombeada para fora. Os íons são focalizados diretamente no caminho do analisador de massas usando lentes que são eletrodos submetidos a diferentes voltagens. Nas lentes as partículas neutras são eliminadas pelas bombas de vácuo. (SKOOG; HOLLER; NIEMAN, 2002).</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principal função da interface é reduzir a pressão e a densidade do feixe, minimizando a perda de íons. As lentes melhoram a sensibilidade e limites de detecção do instrumento (DOS SANTOS, 2007).</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seguia a amostra é direcionada para o analisador, geralmente um quadrupolo. Em que este analisador é composto por quatro hastes condutoras paralelas mantidas em uma configuração duas a duas. As hastes opostas são conectadas eletricamente, sendo um par ligado ao lado positivo de uma fonte de corrente contínua (FCC) e outro ligado ao terminal negativo de uma fonte de corrente alternada (CA), estabelecendo assim, um campo quadrupolar bidimensional no plano x-y. Os íons que entram no espectrômetro são acelerados pelo potencial aplicado nos cilindros, de 5 a 10V, e viajam na direção z (MONTASER, 1998; SKOOG; HOLLER; NIEMAN, 2002).</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seletividade do filtro quadrupolar é estabelecida variando as magnitudes das voltagens CA e FCC simultaneamente de forma que sua razão seja mantida constante para cada par de hastes. A variação das voltagens provoca um movimento oscilatório do feixe de íons nas direções x e y. A dispersão do movimento depende da magnitude dos campos. Esta é uma propriedade da razão massa/carga (m/z) dos íons individuais. Portanto, íons com uma razão m/z específica reagirão igualmente em relação ao potencial elétrico imposto pelo arranjo quadrupolar. Normalmente, um instrumento quadrupolar consegue separar espécies que diferem por menos de uma unidade de massa (SKOOG; HOLLER; NIEMAN, 2002).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detecção dos íons nos instrumentos de ICP-MS são sistemas de detecção do tipo multiplicador de elétrons, na qual os íons que atingem sua superfície ejetam elétrons que, a cada impacto, ejetam mais elétrons formando uma cascata (SKOOG; HOLLER; NIEMAN, 2002).</w:t>
      </w:r>
    </w:p>
    <w:p>
      <w:pPr>
        <w:spacing w:before="0" w:after="0" w:line="259"/>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259"/>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259"/>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259"/>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259"/>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259"/>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259"/>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259"/>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259"/>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259"/>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259"/>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259"/>
        <w:ind w:right="0" w:left="0" w:firstLine="709"/>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106"/>
        </w:numPr>
        <w:spacing w:before="0" w:after="0" w:line="259"/>
        <w:ind w:right="0" w:left="714" w:hanging="357"/>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OBJETIVOS </w:t>
      </w:r>
    </w:p>
    <w:p>
      <w:pPr>
        <w:spacing w:before="0" w:after="0" w:line="259"/>
        <w:ind w:right="0" w:left="0" w:firstLine="709"/>
        <w:jc w:val="both"/>
        <w:rPr>
          <w:rFonts w:ascii="Times New Roman" w:hAnsi="Times New Roman" w:cs="Times New Roman" w:eastAsia="Times New Roman"/>
          <w:color w:val="auto"/>
          <w:spacing w:val="0"/>
          <w:position w:val="0"/>
          <w:sz w:val="24"/>
          <w:shd w:fill="FFFFFF" w:val="clear"/>
        </w:rPr>
      </w:pPr>
    </w:p>
    <w:p>
      <w:pPr>
        <w:keepNext w:val="true"/>
        <w:keepLines w:val="true"/>
        <w:numPr>
          <w:ilvl w:val="0"/>
          <w:numId w:val="108"/>
        </w:numPr>
        <w:spacing w:before="0" w:after="240" w:line="259"/>
        <w:ind w:right="0" w:left="1069" w:hanging="36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 Objetivo Geral</w:t>
      </w:r>
    </w:p>
    <w:p>
      <w:pPr>
        <w:spacing w:before="0" w:after="0" w:line="36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Determinar a concentração dos metais pesados/traço </w:t>
      </w:r>
      <w:r>
        <w:rPr>
          <w:rFonts w:ascii="Times New Roman" w:hAnsi="Times New Roman" w:cs="Times New Roman" w:eastAsia="Times New Roman"/>
          <w:b/>
          <w:color w:val="auto"/>
          <w:spacing w:val="0"/>
          <w:position w:val="0"/>
          <w:sz w:val="24"/>
          <w:shd w:fill="auto" w:val="clear"/>
        </w:rPr>
        <w:t xml:space="preserve">Al, As, Ba, Cd, Cu, Cr, Fe, Mn, Ni, Pb, Se, U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b/>
          <w:color w:val="auto"/>
          <w:spacing w:val="0"/>
          <w:position w:val="0"/>
          <w:sz w:val="24"/>
          <w:shd w:fill="auto" w:val="clear"/>
        </w:rPr>
        <w:t xml:space="preserve"> Zn</w:t>
      </w:r>
      <w:r>
        <w:rPr>
          <w:rFonts w:ascii="Times New Roman" w:hAnsi="Times New Roman" w:cs="Times New Roman" w:eastAsia="Times New Roman"/>
          <w:color w:val="auto"/>
          <w:spacing w:val="0"/>
          <w:position w:val="0"/>
          <w:sz w:val="24"/>
          <w:shd w:fill="FFFFFF" w:val="clear"/>
        </w:rPr>
        <w:t xml:space="preserve"> por meio da técnica de ICP-MS em sedimentos de 05 (cinco) pontos  região norte da Baía de Sepetiba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RJ, Brasil, a fim compará-las com os valores orientadores da resolução CONAMA 454/12 e também com concentrações destes metais encontradas anteriormente em outras regiões da Baía de Sepetiba e brevemente com outros locais do Brasil e do mundo. </w:t>
      </w:r>
    </w:p>
    <w:p>
      <w:pPr>
        <w:spacing w:before="0" w:after="0" w:line="360"/>
        <w:ind w:right="0" w:left="0" w:firstLine="709"/>
        <w:jc w:val="both"/>
        <w:rPr>
          <w:rFonts w:ascii="Times New Roman" w:hAnsi="Times New Roman" w:cs="Times New Roman" w:eastAsia="Times New Roman"/>
          <w:color w:val="auto"/>
          <w:spacing w:val="0"/>
          <w:position w:val="0"/>
          <w:sz w:val="24"/>
          <w:shd w:fill="FFFFFF" w:val="clear"/>
        </w:rPr>
      </w:pPr>
    </w:p>
    <w:p>
      <w:pPr>
        <w:spacing w:before="0" w:after="0" w:line="259"/>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59"/>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259"/>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259"/>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259"/>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259"/>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259"/>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259"/>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259"/>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259"/>
        <w:ind w:right="0" w:left="0" w:firstLine="709"/>
        <w:jc w:val="left"/>
        <w:rPr>
          <w:rFonts w:ascii="Times New Roman" w:hAnsi="Times New Roman" w:cs="Times New Roman" w:eastAsia="Times New Roman"/>
          <w:color w:val="auto"/>
          <w:spacing w:val="0"/>
          <w:position w:val="0"/>
          <w:sz w:val="24"/>
          <w:shd w:fill="auto" w:val="clear"/>
        </w:rPr>
      </w:pPr>
    </w:p>
    <w:p>
      <w:pPr>
        <w:keepNext w:val="true"/>
        <w:keepLines w:val="true"/>
        <w:numPr>
          <w:ilvl w:val="0"/>
          <w:numId w:val="112"/>
        </w:numPr>
        <w:spacing w:before="0" w:after="0" w:line="360"/>
        <w:ind w:right="0" w:left="714" w:hanging="35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MATERIAL e MÉTODOS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114"/>
        </w:numPr>
        <w:spacing w:before="0" w:after="240" w:line="360"/>
        <w:ind w:right="0" w:left="1069"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Área de estudo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Baía de Sepetiba é uma zona de mangue estuarina com uma área de 2711 km</w:t>
      </w:r>
      <w:r>
        <w:rPr>
          <w:rFonts w:ascii="Times New Roman" w:hAnsi="Times New Roman" w:cs="Times New Roman" w:eastAsia="Times New Roman"/>
          <w:color w:val="auto"/>
          <w:spacing w:val="0"/>
          <w:position w:val="0"/>
          <w:sz w:val="24"/>
          <w:shd w:fill="auto" w:val="clear"/>
          <w:vertAlign w:val="superscript"/>
        </w:rPr>
        <w:t xml:space="preserve">2</w:t>
      </w:r>
      <w:r>
        <w:rPr>
          <w:rFonts w:ascii="Times New Roman" w:hAnsi="Times New Roman" w:cs="Times New Roman" w:eastAsia="Times New Roman"/>
          <w:color w:val="auto"/>
          <w:spacing w:val="0"/>
          <w:position w:val="0"/>
          <w:sz w:val="24"/>
          <w:shd w:fill="auto" w:val="clear"/>
        </w:rPr>
        <w:t xml:space="preserve"> e um raio de 500 km, localizada no bairro Sepetiba no município do Rio de Janeiro. Caracteriza-se por possuir fundo lodoso, na maior parte da área interna, com formações de </w:t>
      </w:r>
      <w:r>
        <w:rPr>
          <w:rFonts w:ascii="Times New Roman" w:hAnsi="Times New Roman" w:cs="Times New Roman" w:eastAsia="Times New Roman"/>
          <w:i/>
          <w:color w:val="auto"/>
          <w:spacing w:val="0"/>
          <w:position w:val="0"/>
          <w:sz w:val="24"/>
          <w:shd w:fill="auto" w:val="clear"/>
        </w:rPr>
        <w:t xml:space="preserve">silte</w:t>
      </w:r>
      <w:r>
        <w:rPr>
          <w:rFonts w:ascii="Times New Roman" w:hAnsi="Times New Roman" w:cs="Times New Roman" w:eastAsia="Times New Roman"/>
          <w:color w:val="auto"/>
          <w:spacing w:val="0"/>
          <w:position w:val="0"/>
          <w:sz w:val="24"/>
          <w:shd w:fill="auto" w:val="clear"/>
        </w:rPr>
        <w:t xml:space="preserve">, argila e na parte externa, próxima ao mar, areia e cascalho (COSTA, 2011). É Limitada no continente, pela restinga de Marambaia e Ilha Grande e situa-se entre os paralelos 22°55’ e 23°04’ de latitude sul e os meridianos 43°57’ e 43°36’ a longitude oeste, (DIAS, 2007). A Figura 3 mostra a Baía de Sepetiba e suas respectivas limitações geográficas.</w:t>
      </w:r>
    </w:p>
    <w:p>
      <w:pPr>
        <w:spacing w:before="0" w:after="0" w:line="259"/>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259"/>
        <w:ind w:right="0" w:left="0" w:firstLine="0"/>
        <w:jc w:val="center"/>
        <w:rPr>
          <w:rFonts w:ascii="Times New Roman" w:hAnsi="Times New Roman" w:cs="Times New Roman" w:eastAsia="Times New Roman"/>
          <w:color w:val="auto"/>
          <w:spacing w:val="0"/>
          <w:position w:val="0"/>
          <w:sz w:val="24"/>
          <w:shd w:fill="auto" w:val="clear"/>
        </w:rPr>
      </w:pPr>
      <w:r>
        <w:object w:dxaOrig="6694" w:dyaOrig="4139">
          <v:rect xmlns:o="urn:schemas-microsoft-com:office:office" xmlns:v="urn:schemas-microsoft-com:vml" id="rectole0000000002" style="width:334.700000pt;height:206.95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p>
    <w:p>
      <w:pPr>
        <w:spacing w:before="0" w:after="0" w:line="259"/>
        <w:ind w:right="0" w:left="0" w:firstLine="709"/>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Figura 3</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Imagem de satélite da Baía de Sepetiba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Fonte: Google Hearth</w:t>
      </w:r>
    </w:p>
    <w:p>
      <w:pPr>
        <w:spacing w:before="0" w:after="0" w:line="259"/>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cortada pelos Rio da Guarda, Itingussú, Piraquê, Piracão, Ingaíba, São Braz, Rio do Saco e Saí e pelo Rio Guandu (SOUZA, 2013), o qual sofreu modificação em seu curso de modo a aumentar de sua vazão para a baía. Além disso, a baía sofreu dragagem em função das atividades portuárias desenvolvidas na região, o que resultou na retirada de, aproximadamente, 5,0x10</w:t>
      </w:r>
      <w:r>
        <w:rPr>
          <w:rFonts w:ascii="Times New Roman" w:hAnsi="Times New Roman" w:cs="Times New Roman" w:eastAsia="Times New Roman"/>
          <w:color w:val="auto"/>
          <w:spacing w:val="0"/>
          <w:position w:val="0"/>
          <w:sz w:val="24"/>
          <w:shd w:fill="auto" w:val="clear"/>
          <w:vertAlign w:val="superscript"/>
        </w:rPr>
        <w:t xml:space="preserve">6</w:t>
      </w:r>
      <w:r>
        <w:rPr>
          <w:rFonts w:ascii="Times New Roman" w:hAnsi="Times New Roman" w:cs="Times New Roman" w:eastAsia="Times New Roman"/>
          <w:color w:val="auto"/>
          <w:spacing w:val="0"/>
          <w:position w:val="0"/>
          <w:sz w:val="24"/>
          <w:shd w:fill="auto" w:val="clear"/>
        </w:rPr>
        <w:t xml:space="preserve"> m</w:t>
      </w:r>
      <w:r>
        <w:rPr>
          <w:rFonts w:ascii="Times New Roman" w:hAnsi="Times New Roman" w:cs="Times New Roman" w:eastAsia="Times New Roman"/>
          <w:color w:val="auto"/>
          <w:spacing w:val="0"/>
          <w:position w:val="0"/>
          <w:sz w:val="24"/>
          <w:shd w:fill="auto" w:val="clear"/>
          <w:vertAlign w:val="superscript"/>
        </w:rPr>
        <w:t xml:space="preserve">3</w:t>
      </w:r>
      <w:r>
        <w:rPr>
          <w:rFonts w:ascii="Times New Roman" w:hAnsi="Times New Roman" w:cs="Times New Roman" w:eastAsia="Times New Roman"/>
          <w:color w:val="auto"/>
          <w:spacing w:val="0"/>
          <w:position w:val="0"/>
          <w:sz w:val="24"/>
          <w:shd w:fill="auto" w:val="clear"/>
        </w:rPr>
        <w:t xml:space="preserve"> de sedimentos da baía (FIRJAN, 2015).</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baía de Sepetiba apresenta grande relevância para a economia local, estadual e nacional e também grande importância ambiental. Em relação à economia, cerca de 8000 pescadores artesanais dependem economicamente da Baía de Sepetiba para seu sustento. Além disso, a região possui cerca de 400 indústrias de diversos seguimentos, ressaltando os setores químicos, mineral, metalúrgico e siderúrgico (COSTA, 2011; ENSP FIOCRUZ).</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longo dos anos a Baía de Sepetiba sofreu algumas modificações na sua estrutura geológica, devido a algumas limitações que possuía para o desenvolvimento de atividades portuárias. Além desta modificação sofrida, a Baía de Sepetiba possui histórico de contaminação relacionado à indústria, atividades portuárias, mineração e efluentes domésticos. Destacando-se o histórico de contaminação severa pelos metais pesados, como Cd, Zn, Pb e Hg proveniente de atividades de mineração (MOLISANI, 2004).</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Considera-se que os rios que deságuam na Baía de Sepetiba atualmente, são a fonte principal de poluição, devido às contaminações as quais eles estão submetidos, como de efluentes industriais e domésticos, além das atividades de mineração e portuárias (LEMOS 2015).</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121"/>
        </w:numPr>
        <w:spacing w:before="0" w:after="240" w:line="360"/>
        <w:ind w:right="0" w:left="1069"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Pontos de coleta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As amostras de sedimento foram coletadas em cinco pontos distintos da Baía de Sepetiba, na região norte da baía, onde está localizado o empreendimento EBN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Estaleiro e Base Naval para a construção propulsão comum e nuclear. A Tabela 1 mostra as datas de coleta das amostras, localidade e profundidade média dos pontos de coleta. </w:t>
      </w:r>
    </w:p>
    <w:p>
      <w:pPr>
        <w:spacing w:before="0" w:after="0" w:line="259"/>
        <w:ind w:right="0" w:left="0" w:firstLine="709"/>
        <w:jc w:val="left"/>
        <w:rPr>
          <w:rFonts w:ascii="Times New Roman" w:hAnsi="Times New Roman" w:cs="Times New Roman" w:eastAsia="Times New Roman"/>
          <w:color w:val="auto"/>
          <w:spacing w:val="0"/>
          <w:position w:val="0"/>
          <w:sz w:val="20"/>
          <w:shd w:fill="auto" w:val="clear"/>
        </w:rPr>
      </w:pPr>
    </w:p>
    <w:p>
      <w:pPr>
        <w:tabs>
          <w:tab w:val="left" w:pos="2410" w:leader="none"/>
        </w:tabs>
        <w:spacing w:before="0" w:after="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Tabela 1</w:t>
      </w:r>
      <w:r>
        <w:rPr>
          <w:rFonts w:ascii="Times New Roman" w:hAnsi="Times New Roman" w:cs="Times New Roman" w:eastAsia="Times New Roman"/>
          <w:b/>
          <w:color w:val="4472C4"/>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Identificação dos Pontos de coleta.</w:t>
      </w:r>
    </w:p>
    <w:tbl>
      <w:tblPr/>
      <w:tblGrid>
        <w:gridCol w:w="1578"/>
        <w:gridCol w:w="1243"/>
        <w:gridCol w:w="1530"/>
        <w:gridCol w:w="1597"/>
        <w:gridCol w:w="1888"/>
      </w:tblGrid>
      <w:tr>
        <w:trPr>
          <w:trHeight w:val="340" w:hRule="auto"/>
          <w:jc w:val="left"/>
        </w:trPr>
        <w:tc>
          <w:tcPr>
            <w:tcW w:w="7836" w:type="dxa"/>
            <w:gridSpan w:val="5"/>
            <w:tcBorders>
              <w:top w:val="single" w:color="000000" w:sz="4"/>
              <w:left w:val="single" w:color="ffffff" w:sz="4"/>
              <w:bottom w:val="single" w:color="000000" w:sz="4"/>
              <w:right w:val="single" w:color="ffffff" w:sz="4"/>
            </w:tcBorders>
            <w:shd w:color="000000" w:fill="ffffff" w:val="clear"/>
            <w:tcMar>
              <w:left w:w="108" w:type="dxa"/>
              <w:right w:w="108" w:type="dxa"/>
            </w:tcMar>
            <w:vAlign w:val="center"/>
          </w:tcPr>
          <w:p>
            <w:pPr>
              <w:spacing w:before="0" w:after="0" w:line="240"/>
              <w:ind w:right="0" w:left="0" w:firstLine="33"/>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Informações sobre a coleta e coordenadas geográficas dos pontos</w:t>
            </w:r>
          </w:p>
        </w:tc>
      </w:tr>
      <w:tr>
        <w:trPr>
          <w:trHeight w:val="340" w:hRule="auto"/>
          <w:jc w:val="left"/>
        </w:trPr>
        <w:tc>
          <w:tcPr>
            <w:tcW w:w="1578" w:type="dxa"/>
            <w:tcBorders>
              <w:top w:val="single" w:color="000000" w:sz="4"/>
              <w:left w:val="single" w:color="ffffff"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33"/>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Sigla</w:t>
            </w:r>
          </w:p>
        </w:tc>
        <w:tc>
          <w:tcPr>
            <w:tcW w:w="12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33"/>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Data</w:t>
            </w:r>
          </w:p>
        </w:tc>
        <w:tc>
          <w:tcPr>
            <w:tcW w:w="1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33"/>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Latitude (S)</w:t>
            </w:r>
          </w:p>
        </w:tc>
        <w:tc>
          <w:tcPr>
            <w:tcW w:w="159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33"/>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Longitude (W)</w:t>
            </w:r>
          </w:p>
        </w:tc>
        <w:tc>
          <w:tcPr>
            <w:tcW w:w="1888" w:type="dxa"/>
            <w:tcBorders>
              <w:top w:val="single" w:color="000000" w:sz="4"/>
              <w:left w:val="single" w:color="000000" w:sz="4"/>
              <w:bottom w:val="single" w:color="000000" w:sz="4"/>
              <w:right w:val="single" w:color="ffffff" w:sz="4"/>
            </w:tcBorders>
            <w:shd w:color="000000" w:fill="ffffff" w:val="clear"/>
            <w:tcMar>
              <w:left w:w="108" w:type="dxa"/>
              <w:right w:w="108" w:type="dxa"/>
            </w:tcMar>
            <w:vAlign w:val="center"/>
          </w:tcPr>
          <w:p>
            <w:pPr>
              <w:spacing w:before="0" w:after="0" w:line="240"/>
              <w:ind w:right="0" w:left="0" w:firstLine="33"/>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Profundidade (m)</w:t>
            </w:r>
          </w:p>
        </w:tc>
      </w:tr>
      <w:tr>
        <w:trPr>
          <w:trHeight w:val="340" w:hRule="auto"/>
          <w:jc w:val="left"/>
        </w:trPr>
        <w:tc>
          <w:tcPr>
            <w:tcW w:w="1578" w:type="dxa"/>
            <w:tcBorders>
              <w:top w:val="single" w:color="000000" w:sz="4"/>
              <w:left w:val="single" w:color="ffffff"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33"/>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PC</w:t>
            </w:r>
          </w:p>
        </w:tc>
        <w:tc>
          <w:tcPr>
            <w:tcW w:w="12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33"/>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21/11/2018</w:t>
            </w:r>
          </w:p>
        </w:tc>
        <w:tc>
          <w:tcPr>
            <w:tcW w:w="1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33"/>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23°. 01.076’</w:t>
            </w:r>
          </w:p>
        </w:tc>
        <w:tc>
          <w:tcPr>
            <w:tcW w:w="159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33"/>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043°. 57.516’</w:t>
            </w:r>
          </w:p>
        </w:tc>
        <w:tc>
          <w:tcPr>
            <w:tcW w:w="1888" w:type="dxa"/>
            <w:tcBorders>
              <w:top w:val="single" w:color="000000" w:sz="4"/>
              <w:left w:val="single" w:color="000000" w:sz="4"/>
              <w:bottom w:val="single" w:color="000000" w:sz="4"/>
              <w:right w:val="single" w:color="ffffff" w:sz="4"/>
            </w:tcBorders>
            <w:shd w:color="000000" w:fill="ffffff" w:val="clear"/>
            <w:tcMar>
              <w:left w:w="108" w:type="dxa"/>
              <w:right w:w="108" w:type="dxa"/>
            </w:tcMar>
            <w:vAlign w:val="center"/>
          </w:tcPr>
          <w:p>
            <w:pPr>
              <w:spacing w:before="0" w:after="0" w:line="240"/>
              <w:ind w:right="0" w:left="0" w:firstLine="33"/>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10,0</w:t>
            </w:r>
          </w:p>
        </w:tc>
      </w:tr>
      <w:tr>
        <w:trPr>
          <w:trHeight w:val="340" w:hRule="auto"/>
          <w:jc w:val="left"/>
        </w:trPr>
        <w:tc>
          <w:tcPr>
            <w:tcW w:w="1578" w:type="dxa"/>
            <w:tcBorders>
              <w:top w:val="single" w:color="000000" w:sz="4"/>
              <w:left w:val="single" w:color="ffffff"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33"/>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P1</w:t>
            </w:r>
          </w:p>
        </w:tc>
        <w:tc>
          <w:tcPr>
            <w:tcW w:w="12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33"/>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20/11/2018</w:t>
            </w:r>
          </w:p>
        </w:tc>
        <w:tc>
          <w:tcPr>
            <w:tcW w:w="1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33"/>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22°. 55.458’</w:t>
            </w:r>
          </w:p>
        </w:tc>
        <w:tc>
          <w:tcPr>
            <w:tcW w:w="159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33"/>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043°. 51.704’</w:t>
            </w:r>
          </w:p>
        </w:tc>
        <w:tc>
          <w:tcPr>
            <w:tcW w:w="1888" w:type="dxa"/>
            <w:tcBorders>
              <w:top w:val="single" w:color="000000" w:sz="4"/>
              <w:left w:val="single" w:color="000000" w:sz="4"/>
              <w:bottom w:val="single" w:color="000000" w:sz="4"/>
              <w:right w:val="single" w:color="ffffff" w:sz="4"/>
            </w:tcBorders>
            <w:shd w:color="000000" w:fill="ffffff" w:val="clear"/>
            <w:tcMar>
              <w:left w:w="108" w:type="dxa"/>
              <w:right w:w="108" w:type="dxa"/>
            </w:tcMar>
            <w:vAlign w:val="center"/>
          </w:tcPr>
          <w:p>
            <w:pPr>
              <w:spacing w:before="0" w:after="0" w:line="240"/>
              <w:ind w:right="0" w:left="0" w:firstLine="33"/>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4,0</w:t>
            </w:r>
          </w:p>
        </w:tc>
      </w:tr>
      <w:tr>
        <w:trPr>
          <w:trHeight w:val="340" w:hRule="auto"/>
          <w:jc w:val="left"/>
        </w:trPr>
        <w:tc>
          <w:tcPr>
            <w:tcW w:w="1578" w:type="dxa"/>
            <w:tcBorders>
              <w:top w:val="single" w:color="000000" w:sz="4"/>
              <w:left w:val="single" w:color="ffffff"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33"/>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P3</w:t>
            </w:r>
          </w:p>
        </w:tc>
        <w:tc>
          <w:tcPr>
            <w:tcW w:w="12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33"/>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20/11/2018</w:t>
            </w:r>
          </w:p>
        </w:tc>
        <w:tc>
          <w:tcPr>
            <w:tcW w:w="1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33"/>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22°. 54.832’</w:t>
            </w:r>
          </w:p>
        </w:tc>
        <w:tc>
          <w:tcPr>
            <w:tcW w:w="159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33"/>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043°. 50.784’</w:t>
            </w:r>
          </w:p>
        </w:tc>
        <w:tc>
          <w:tcPr>
            <w:tcW w:w="1888" w:type="dxa"/>
            <w:tcBorders>
              <w:top w:val="single" w:color="000000" w:sz="4"/>
              <w:left w:val="single" w:color="000000" w:sz="4"/>
              <w:bottom w:val="single" w:color="000000" w:sz="4"/>
              <w:right w:val="single" w:color="ffffff" w:sz="4"/>
            </w:tcBorders>
            <w:shd w:color="000000" w:fill="ffffff" w:val="clear"/>
            <w:tcMar>
              <w:left w:w="108" w:type="dxa"/>
              <w:right w:w="108" w:type="dxa"/>
            </w:tcMar>
            <w:vAlign w:val="center"/>
          </w:tcPr>
          <w:p>
            <w:pPr>
              <w:spacing w:before="0" w:after="0" w:line="240"/>
              <w:ind w:right="0" w:left="0" w:firstLine="33"/>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1,0</w:t>
            </w:r>
          </w:p>
        </w:tc>
      </w:tr>
      <w:tr>
        <w:trPr>
          <w:trHeight w:val="340" w:hRule="auto"/>
          <w:jc w:val="left"/>
        </w:trPr>
        <w:tc>
          <w:tcPr>
            <w:tcW w:w="1578" w:type="dxa"/>
            <w:tcBorders>
              <w:top w:val="single" w:color="000000" w:sz="4"/>
              <w:left w:val="single" w:color="ffffff"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33"/>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P4</w:t>
            </w:r>
          </w:p>
        </w:tc>
        <w:tc>
          <w:tcPr>
            <w:tcW w:w="12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33"/>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20/11/2018</w:t>
            </w:r>
          </w:p>
        </w:tc>
        <w:tc>
          <w:tcPr>
            <w:tcW w:w="1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33"/>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22°. 55.721’</w:t>
            </w:r>
          </w:p>
        </w:tc>
        <w:tc>
          <w:tcPr>
            <w:tcW w:w="159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33"/>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043°. 50.953’</w:t>
            </w:r>
          </w:p>
        </w:tc>
        <w:tc>
          <w:tcPr>
            <w:tcW w:w="1888" w:type="dxa"/>
            <w:tcBorders>
              <w:top w:val="single" w:color="000000" w:sz="4"/>
              <w:left w:val="single" w:color="000000" w:sz="4"/>
              <w:bottom w:val="single" w:color="000000" w:sz="4"/>
              <w:right w:val="single" w:color="ffffff" w:sz="4"/>
            </w:tcBorders>
            <w:shd w:color="000000" w:fill="ffffff" w:val="clear"/>
            <w:tcMar>
              <w:left w:w="108" w:type="dxa"/>
              <w:right w:w="108" w:type="dxa"/>
            </w:tcMar>
            <w:vAlign w:val="center"/>
          </w:tcPr>
          <w:p>
            <w:pPr>
              <w:spacing w:before="0" w:after="0" w:line="240"/>
              <w:ind w:right="0" w:left="0" w:firstLine="33"/>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11,0</w:t>
            </w:r>
          </w:p>
        </w:tc>
      </w:tr>
      <w:tr>
        <w:trPr>
          <w:trHeight w:val="340" w:hRule="auto"/>
          <w:jc w:val="left"/>
        </w:trPr>
        <w:tc>
          <w:tcPr>
            <w:tcW w:w="1578" w:type="dxa"/>
            <w:tcBorders>
              <w:top w:val="single" w:color="000000" w:sz="4"/>
              <w:left w:val="single" w:color="ffffff"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33"/>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P5</w:t>
            </w:r>
          </w:p>
        </w:tc>
        <w:tc>
          <w:tcPr>
            <w:tcW w:w="12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33"/>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20/11/2018</w:t>
            </w:r>
          </w:p>
        </w:tc>
        <w:tc>
          <w:tcPr>
            <w:tcW w:w="1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33"/>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22°. 55.837’</w:t>
            </w:r>
          </w:p>
        </w:tc>
        <w:tc>
          <w:tcPr>
            <w:tcW w:w="159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33"/>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043°. 50.674’</w:t>
            </w:r>
          </w:p>
        </w:tc>
        <w:tc>
          <w:tcPr>
            <w:tcW w:w="1888" w:type="dxa"/>
            <w:tcBorders>
              <w:top w:val="single" w:color="000000" w:sz="4"/>
              <w:left w:val="single" w:color="000000" w:sz="4"/>
              <w:bottom w:val="single" w:color="000000" w:sz="4"/>
              <w:right w:val="single" w:color="ffffff" w:sz="4"/>
            </w:tcBorders>
            <w:shd w:color="000000" w:fill="ffffff" w:val="clear"/>
            <w:tcMar>
              <w:left w:w="108" w:type="dxa"/>
              <w:right w:w="108" w:type="dxa"/>
            </w:tcMar>
            <w:vAlign w:val="center"/>
          </w:tcPr>
          <w:p>
            <w:pPr>
              <w:spacing w:before="0" w:after="0" w:line="240"/>
              <w:ind w:right="0" w:left="0" w:firstLine="33"/>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3,5</w:t>
            </w:r>
          </w:p>
        </w:tc>
      </w:tr>
    </w:tbl>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PC: É o ponto de controle, localiza-se na entrada da baía de Sepetiba.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P1: O Ponto um localiza-se entre a Ilha da madeira e Ilha de Itacuruçá.</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P3: Esse ponto está localizado na zona de mistura da Unidade de Tratamento de Esgoto Canteiro do Norte, no Saco da Coroa Grande.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P4: O ponto está localizado no Cais de acesso ao empreendimento EBN, próximo a Ilha da Madeira.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P5: Ponto localizado próximo à Ilha da Madeira na área externa de acesso ao empreendimento EBN, nas adjacências do Porto Itaguaí, abrangendo zona de mistura do efluente da Unidade de Tratamento de Esgoto do Canteiro Sul. As localizações dos pontos são mostradas na Figura 4.</w:t>
      </w:r>
    </w:p>
    <w:p>
      <w:pPr>
        <w:spacing w:before="0" w:after="0" w:line="259"/>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259"/>
        <w:ind w:right="0" w:left="0" w:firstLine="0"/>
        <w:jc w:val="center"/>
        <w:rPr>
          <w:rFonts w:ascii="Times New Roman" w:hAnsi="Times New Roman" w:cs="Times New Roman" w:eastAsia="Times New Roman"/>
          <w:color w:val="auto"/>
          <w:spacing w:val="0"/>
          <w:position w:val="0"/>
          <w:sz w:val="24"/>
          <w:shd w:fill="auto" w:val="clear"/>
        </w:rPr>
      </w:pPr>
      <w:r>
        <w:object w:dxaOrig="8054" w:dyaOrig="4501">
          <v:rect xmlns:o="urn:schemas-microsoft-com:office:office" xmlns:v="urn:schemas-microsoft-com:vml" id="rectole0000000003" style="width:402.700000pt;height:225.05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3" ShapeID="rectole0000000003" r:id="docRId7"/>
        </w:object>
      </w:r>
    </w:p>
    <w:p>
      <w:pPr>
        <w:spacing w:before="0" w:after="0" w:line="259"/>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Figura 4</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Localiza</w:t>
      </w:r>
      <w:r>
        <w:rPr>
          <w:rFonts w:ascii="Times New Roman" w:hAnsi="Times New Roman" w:cs="Times New Roman" w:eastAsia="Times New Roman"/>
          <w:color w:val="auto"/>
          <w:spacing w:val="0"/>
          <w:position w:val="0"/>
          <w:sz w:val="20"/>
          <w:shd w:fill="auto" w:val="clear"/>
        </w:rPr>
        <w:t xml:space="preserve">ção dos pontos de coleta. Fonte: Google Hearth.</w:t>
      </w:r>
    </w:p>
    <w:p>
      <w:pPr>
        <w:spacing w:before="0" w:after="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59"/>
        <w:ind w:right="0" w:left="0" w:firstLine="0"/>
        <w:jc w:val="left"/>
        <w:rPr>
          <w:rFonts w:ascii="Times New Roman" w:hAnsi="Times New Roman" w:cs="Times New Roman" w:eastAsia="Times New Roman"/>
          <w:color w:val="auto"/>
          <w:spacing w:val="0"/>
          <w:position w:val="0"/>
          <w:sz w:val="24"/>
          <w:shd w:fill="auto" w:val="clear"/>
        </w:rPr>
      </w:pPr>
    </w:p>
    <w:p>
      <w:pPr>
        <w:keepNext w:val="true"/>
        <w:keepLines w:val="true"/>
        <w:numPr>
          <w:ilvl w:val="0"/>
          <w:numId w:val="146"/>
        </w:numPr>
        <w:spacing w:before="0" w:after="240" w:line="360"/>
        <w:ind w:right="0" w:left="1069"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Amostragem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o auxílio de uma embarcação de pequeno porte, foram coletadas amostras de sedimento nos 5 pontos distintos da Baía de Sepetiba com auxílio do amostrador tipo Draga Van Veen. Cada amostra foi acondicionada em sacola plástica distinta, lacrada com numeração correspondente a cada ponto de controle e armazenada em freezer a -20 (±1) °C até o momento das análises. Além disso, foram determinados </w:t>
      </w:r>
      <w:r>
        <w:rPr>
          <w:rFonts w:ascii="Times New Roman" w:hAnsi="Times New Roman" w:cs="Times New Roman" w:eastAsia="Times New Roman"/>
          <w:i/>
          <w:color w:val="auto"/>
          <w:spacing w:val="0"/>
          <w:position w:val="0"/>
          <w:sz w:val="24"/>
          <w:shd w:fill="auto" w:val="clear"/>
        </w:rPr>
        <w:t xml:space="preserve">in situ</w:t>
      </w:r>
      <w:r>
        <w:rPr>
          <w:rFonts w:ascii="Times New Roman" w:hAnsi="Times New Roman" w:cs="Times New Roman" w:eastAsia="Times New Roman"/>
          <w:color w:val="auto"/>
          <w:spacing w:val="0"/>
          <w:position w:val="0"/>
          <w:sz w:val="24"/>
          <w:shd w:fill="auto" w:val="clear"/>
        </w:rPr>
        <w:t xml:space="preserve"> os seguintes parâmetros físico-químicos: pH, temperatura e condutividade, Eh, salinidade, turbidez da água, oxigênio dissolvido e sólido dissolvidos, por meio de multissonda modelo U-52 do fabricante (HORIBA).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148"/>
        </w:numPr>
        <w:spacing w:before="0" w:after="240" w:line="360"/>
        <w:ind w:right="0" w:left="1069"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Reagentes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Todos os reagentes utilizados foram obtidos da Sigma (Sigma, EUA), de grau analítico, exceto HNO</w:t>
      </w:r>
      <w:r>
        <w:rPr>
          <w:rFonts w:ascii="Times New Roman" w:hAnsi="Times New Roman" w:cs="Times New Roman" w:eastAsia="Times New Roman"/>
          <w:color w:val="auto"/>
          <w:spacing w:val="0"/>
          <w:position w:val="0"/>
          <w:sz w:val="24"/>
          <w:shd w:fill="auto" w:val="clear"/>
          <w:vertAlign w:val="subscript"/>
        </w:rPr>
        <w:t xml:space="preserve">3</w:t>
      </w:r>
      <w:r>
        <w:rPr>
          <w:rFonts w:ascii="Times New Roman" w:hAnsi="Times New Roman" w:cs="Times New Roman" w:eastAsia="Times New Roman"/>
          <w:color w:val="auto"/>
          <w:spacing w:val="0"/>
          <w:position w:val="0"/>
          <w:sz w:val="24"/>
          <w:shd w:fill="auto" w:val="clear"/>
        </w:rPr>
        <w:t xml:space="preserve"> purificados com destilação sub-boiling, utilizando um destilador de quartzo (Kürner). Foi utilizada uma solução estoque multielementar contendo 1000 mg/L de cada elemento além de uma solução estoque de 1000 µg/L, ambas obtidas da SpecSol (QUIMLAB).</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Água deionizada de alta pureza (resistividade 18.2 M</w:t>
      </w:r>
      <w:r>
        <w:rPr>
          <w:rFonts w:ascii="Cambria Math" w:hAnsi="Cambria Math" w:cs="Cambria Math" w:eastAsia="Cambria Math"/>
          <w:color w:val="auto"/>
          <w:spacing w:val="0"/>
          <w:position w:val="0"/>
          <w:sz w:val="24"/>
          <w:shd w:fill="auto" w:val="clear"/>
        </w:rPr>
        <w:t xml:space="preserve">Ω</w:t>
      </w:r>
      <w:r>
        <w:rPr>
          <w:rFonts w:ascii="Times New Roman" w:hAnsi="Times New Roman" w:cs="Times New Roman" w:eastAsia="Times New Roman"/>
          <w:color w:val="auto"/>
          <w:spacing w:val="0"/>
          <w:position w:val="0"/>
          <w:sz w:val="24"/>
          <w:shd w:fill="auto" w:val="clear"/>
        </w:rPr>
        <w:t xml:space="preserve"> cm) foi obtida usando um sistema de purificação por osmose reversa seguida de um Milli-Q (Millipore, EUA). Todas as soluções foram estocadas em tubos de polietileno.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Obs.:</w:t>
      </w:r>
      <w:r>
        <w:rPr>
          <w:rFonts w:ascii="Times New Roman" w:hAnsi="Times New Roman" w:cs="Times New Roman" w:eastAsia="Times New Roman"/>
          <w:color w:val="auto"/>
          <w:spacing w:val="0"/>
          <w:position w:val="0"/>
          <w:sz w:val="24"/>
          <w:shd w:fill="auto" w:val="clear"/>
        </w:rPr>
        <w:t xml:space="preserve"> O processamento das amostras e análise química foram realizadas no Instituto de Estudos do Mar Almirante Paulo Moreira (IEAPM).</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150"/>
        </w:numPr>
        <w:spacing w:before="0" w:after="240" w:line="360"/>
        <w:ind w:right="0" w:left="1069"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Processamento das Amostras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amostras foram descongeladas, transferidas para cápsulas de porcelana, previamente higienizados com ácido nítrico a 10 % e água ultrapura, e secos completamente em estufa a uma temperatura próxima a 60 °C. Após secagem, essas amostras foram deixadas esfriar em dessecadores e logo após, foram maceradas completamente usando almofariz e pistilo, logo após, transferidas para sacos plásticos nunca usados e enumerados conforme o número da amostra e armazenadas novamente em dessecadores.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extração dos metais do sedimento foi feita de acordo com o método de Digestão Ácida de sedimentos, lamas, solos e óleos Assistida por Microondas (EPA 3051a), em que a digestão foi realizada por meio de um digestor de microondas modelo Speedwave Xpert (BERGHOF).</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Pesou-se, aproximadamente, 0,25 g do sedimento seco e macerado para cada amostra em balança analítica modelo XS105 (METTER TOLEDO) e transferiu-se cada massa pesada para frascos digestores e adicionando-se em seguida 10,0 mL de HNO</w:t>
      </w:r>
      <w:r>
        <w:rPr>
          <w:rFonts w:ascii="Times New Roman" w:hAnsi="Times New Roman" w:cs="Times New Roman" w:eastAsia="Times New Roman"/>
          <w:color w:val="auto"/>
          <w:spacing w:val="0"/>
          <w:position w:val="0"/>
          <w:sz w:val="24"/>
          <w:shd w:fill="auto" w:val="clear"/>
          <w:vertAlign w:val="subscript"/>
        </w:rPr>
        <w:t xml:space="preserve">3</w:t>
      </w:r>
      <w:r>
        <w:rPr>
          <w:rFonts w:ascii="Times New Roman" w:hAnsi="Times New Roman" w:cs="Times New Roman" w:eastAsia="Times New Roman"/>
          <w:color w:val="auto"/>
          <w:spacing w:val="0"/>
          <w:position w:val="0"/>
          <w:sz w:val="24"/>
          <w:shd w:fill="auto" w:val="clear"/>
        </w:rPr>
        <w:t xml:space="preserve"> concentrado a 65 %. Esse procedimento foi realizado em triplicata para cada amostra. Em seguida, os frascos digestores foram fechados e inseridos no digestor, procedendo-se a digestão das amostras por um período de 40 minutos. Após a digestão as amostras foram transferidas para tubos Falcon e avolumadas para 25 mL com H</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O ultrapura para, sendo armazenadas até a análise.</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152"/>
        </w:numPr>
        <w:spacing w:before="0" w:after="240" w:line="360"/>
        <w:ind w:right="0" w:left="1069"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Análise Química</w:t>
      </w:r>
    </w:p>
    <w:p>
      <w:pPr>
        <w:spacing w:before="0" w:after="0" w:line="360"/>
        <w:ind w:right="0" w:left="0" w:firstLine="709"/>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auto" w:val="clear"/>
        </w:rPr>
        <w:t xml:space="preserve"> Antes da análise, as amostras nos tubos Falcon foram centrifugadas uma centrífuga modelo QM2TM2 (QUIMIS), durante 5 minutos nas seguintes condições de centrifugação:1500 rotações por minuto (RPM) por 5 minutos e a 25 (±1) ºC. O precipitado descartado e o sobrenadante analisado. Para a análise as amostras foram diluídas 10 vezes, retirando-se 500 µL de amostra (sobrenadante) transferindo-se para os tubos de amostras do ICP-MS e avolumando-se para 4,5 mL de água ultrapura, com exceção das amostras de Fe e Al que foram diluídas 500 vezes, usando-se 10 µL de amostra para 4,990 mL de água ultrapura. Procedimento realizado para não excederem as concentrações do ponto máximo da curva de calibração.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amostras foram posteriormente analisadas em um espectrômetro de massas com plasma indutivamente acoplado (ICP-MS) modelo ICAPQc (Thermo Cienthific, EUA) (figura 5), sistema com analisador de massas quadrupolo, acoplado à amostrador automático ASX-520 (CETAC, EUA). O equipamento é equipado com um nebulizador concêntrico, câmara de nebulização ciclônica de quartzo, gerador de radiofrequência 27 MHz (500 a 1600W), sistema de refrigeração </w:t>
      </w:r>
      <w:r>
        <w:rPr>
          <w:rFonts w:ascii="Times New Roman" w:hAnsi="Times New Roman" w:cs="Times New Roman" w:eastAsia="Times New Roman"/>
          <w:i/>
          <w:color w:val="auto"/>
          <w:spacing w:val="0"/>
          <w:position w:val="0"/>
          <w:sz w:val="24"/>
          <w:shd w:fill="auto" w:val="clear"/>
        </w:rPr>
        <w:t xml:space="preserve">Peltier</w:t>
      </w:r>
      <w:r>
        <w:rPr>
          <w:rFonts w:ascii="Times New Roman" w:hAnsi="Times New Roman" w:cs="Times New Roman" w:eastAsia="Times New Roman"/>
          <w:color w:val="auto"/>
          <w:spacing w:val="0"/>
          <w:position w:val="0"/>
          <w:sz w:val="24"/>
          <w:shd w:fill="auto" w:val="clear"/>
        </w:rPr>
        <w:t xml:space="preserve"> de 10 a 20 </w:t>
      </w:r>
      <w:r>
        <w:rPr>
          <w:rFonts w:ascii="Times New Roman" w:hAnsi="Times New Roman" w:cs="Times New Roman" w:eastAsia="Times New Roman"/>
          <w:color w:val="auto"/>
          <w:spacing w:val="0"/>
          <w:position w:val="0"/>
          <w:sz w:val="26"/>
          <w:shd w:fill="auto" w:val="clear"/>
        </w:rPr>
        <w:t xml:space="preserve">º</w:t>
      </w:r>
      <w:r>
        <w:rPr>
          <w:rFonts w:ascii="Times New Roman" w:hAnsi="Times New Roman" w:cs="Times New Roman" w:eastAsia="Times New Roman"/>
          <w:color w:val="auto"/>
          <w:spacing w:val="0"/>
          <w:position w:val="0"/>
          <w:sz w:val="24"/>
          <w:shd w:fill="auto" w:val="clear"/>
        </w:rPr>
        <w:t xml:space="preserve">C, cone de amostragem de Ni - 1,1 mm de diâmetro, Cone </w:t>
      </w:r>
      <w:r>
        <w:rPr>
          <w:rFonts w:ascii="Times New Roman" w:hAnsi="Times New Roman" w:cs="Times New Roman" w:eastAsia="Times New Roman"/>
          <w:i/>
          <w:color w:val="auto"/>
          <w:spacing w:val="0"/>
          <w:position w:val="0"/>
          <w:sz w:val="24"/>
          <w:shd w:fill="auto" w:val="clear"/>
        </w:rPr>
        <w:t xml:space="preserve">skimmer</w:t>
      </w:r>
      <w:r>
        <w:rPr>
          <w:rFonts w:ascii="Times New Roman" w:hAnsi="Times New Roman" w:cs="Times New Roman" w:eastAsia="Times New Roman"/>
          <w:color w:val="auto"/>
          <w:spacing w:val="0"/>
          <w:position w:val="0"/>
          <w:sz w:val="24"/>
          <w:shd w:fill="auto" w:val="clear"/>
        </w:rPr>
        <w:t xml:space="preserve"> de Ni - 0,5 mm de diâmetro. O equipamento foi operado no modo padrão, tempo de permanência de 15 ms, 50 varreduras por leitura, uma leitura por réplica, três repetições. Gás argônio com pureza mínima de 99,996% foi obtido a partir White Martins (São Paulo, Brasil).</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keepNext w:val="true"/>
        <w:spacing w:before="0" w:after="0" w:line="259"/>
        <w:ind w:right="0" w:left="0" w:firstLine="0"/>
        <w:jc w:val="center"/>
        <w:rPr>
          <w:rFonts w:ascii="Times New Roman" w:hAnsi="Times New Roman" w:cs="Times New Roman" w:eastAsia="Times New Roman"/>
          <w:color w:val="auto"/>
          <w:spacing w:val="0"/>
          <w:position w:val="0"/>
          <w:sz w:val="24"/>
          <w:shd w:fill="auto" w:val="clear"/>
        </w:rPr>
      </w:pPr>
      <w:r>
        <w:object w:dxaOrig="6912" w:dyaOrig="3891">
          <v:rect xmlns:o="urn:schemas-microsoft-com:office:office" xmlns:v="urn:schemas-microsoft-com:vml" id="rectole0000000004" style="width:345.600000pt;height:194.55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4" ShapeID="rectole0000000004" r:id="docRId9"/>
        </w:object>
      </w:r>
    </w:p>
    <w:p>
      <w:pPr>
        <w:spacing w:before="0" w:after="0" w:line="360"/>
        <w:ind w:right="0" w:left="0" w:firstLine="0"/>
        <w:jc w:val="center"/>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b/>
          <w:color w:val="auto"/>
          <w:spacing w:val="0"/>
          <w:position w:val="0"/>
          <w:sz w:val="20"/>
          <w:shd w:fill="auto" w:val="clear"/>
        </w:rPr>
        <w:t xml:space="preserve">Figura 5 - </w:t>
      </w:r>
      <w:r>
        <w:rPr>
          <w:rFonts w:ascii="Times New Roman" w:hAnsi="Times New Roman" w:cs="Times New Roman" w:eastAsia="Times New Roman"/>
          <w:color w:val="auto"/>
          <w:spacing w:val="0"/>
          <w:position w:val="0"/>
          <w:sz w:val="20"/>
          <w:shd w:fill="auto" w:val="clear"/>
        </w:rPr>
        <w:t xml:space="preserve">ICP-MS - ICAPQc - Thermo Científic. Fonte própria.</w:t>
      </w:r>
    </w:p>
    <w:p>
      <w:pPr>
        <w:spacing w:before="0" w:after="0" w:line="259"/>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análises químicas foram realizadas usando a técnica analítica ICP-MS, baseando-se no método </w:t>
      </w:r>
      <w:r>
        <w:rPr>
          <w:rFonts w:ascii="Times New Roman" w:hAnsi="Times New Roman" w:cs="Times New Roman" w:eastAsia="Times New Roman"/>
          <w:i/>
          <w:color w:val="auto"/>
          <w:spacing w:val="0"/>
          <w:position w:val="0"/>
          <w:sz w:val="24"/>
          <w:shd w:fill="auto" w:val="clear"/>
        </w:rPr>
        <w:t xml:space="preserve">Environmental Protection Agency</w:t>
      </w:r>
      <w:r>
        <w:rPr>
          <w:rFonts w:ascii="Times New Roman" w:hAnsi="Times New Roman" w:cs="Times New Roman" w:eastAsia="Times New Roman"/>
          <w:color w:val="auto"/>
          <w:spacing w:val="0"/>
          <w:position w:val="0"/>
          <w:sz w:val="24"/>
          <w:shd w:fill="auto" w:val="clear"/>
        </w:rPr>
        <w:t xml:space="preserve"> (EPA 6020b), que é usado para determinar a concentração em µg/L de mais de 60 elementos químicos, dentre eles os elementos que foram avaliados nesse trabalho, em várias matrizes, como amostras de águas subterrâneas, lamas, resíduos industriais, resíduos sólidos e sedimentos.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158"/>
        </w:numPr>
        <w:spacing w:before="0" w:after="240" w:line="360"/>
        <w:ind w:right="0" w:left="1069" w:hanging="36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 Curva Analítica de Calibração </w:t>
      </w:r>
    </w:p>
    <w:p>
      <w:pPr>
        <w:spacing w:before="0" w:after="0" w:line="36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 análise quantitativa utilizando a técnica de ICP-MS requer a construção de curvas de calibração diárias, que serão referência para converter as intensidades registradas nas análises das soluções-padrão em concentrações dos respectivos elementos. A calibração do ICP-MS exige soluções de referência e curvas para todos os elementos determinados no trabalho. As curvas analíticas de calibração foram construídas com 6 pontos, conforme apresentado na Tabela 2, e preparadas a partir de uma solução estoque intermediária, feita a partir do padrão multielementar da SpecSol, de concentração de 100</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24"/>
          <w:shd w:fill="auto" w:val="clear"/>
        </w:rPr>
        <w:t xml:space="preserve">μg</w:t>
      </w:r>
      <w:r>
        <w:rPr>
          <w:rFonts w:ascii="Times New Roman" w:hAnsi="Times New Roman" w:cs="Times New Roman" w:eastAsia="Times New Roman"/>
          <w:color w:val="auto"/>
          <w:spacing w:val="0"/>
          <w:position w:val="0"/>
          <w:sz w:val="24"/>
          <w:shd w:fill="FFFFFF" w:val="clear"/>
        </w:rPr>
        <w:t xml:space="preserve">/L em solu</w:t>
      </w:r>
      <w:r>
        <w:rPr>
          <w:rFonts w:ascii="Times New Roman" w:hAnsi="Times New Roman" w:cs="Times New Roman" w:eastAsia="Times New Roman"/>
          <w:color w:val="auto"/>
          <w:spacing w:val="0"/>
          <w:position w:val="0"/>
          <w:sz w:val="24"/>
          <w:shd w:fill="FFFFFF" w:val="clear"/>
        </w:rPr>
        <w:t xml:space="preserve">ção aquosa de ácido nítrico a 2%. Todos os metais foram analisados sob a mesma faixa de calibração, Tabela 2.  </w:t>
      </w:r>
    </w:p>
    <w:p>
      <w:pPr>
        <w:spacing w:before="0" w:after="0" w:line="36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 partir da construção das curvas de calibração foi verificada a linearidade do método, transcrita como a capacidade de um método analítico de demonstrar que os resultados obtidos são diretamente proporcionais à concentração do analito na amostra, dentro de um intervalo especificado. Recomenda-se que a linearidade seja determinada pela análise de, no mínimo, 5 concentrações diferentes (BRASIL, 2017)</w:t>
      </w:r>
    </w:p>
    <w:p>
      <w:pPr>
        <w:spacing w:before="0" w:after="0" w:line="36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 verificação do limite de detecção (LD),</w:t>
      </w:r>
      <w:r>
        <w:rPr>
          <w:rFonts w:ascii="Times New Roman" w:hAnsi="Times New Roman" w:cs="Times New Roman" w:eastAsia="Times New Roman"/>
          <w:color w:val="auto"/>
          <w:spacing w:val="0"/>
          <w:position w:val="0"/>
          <w:sz w:val="24"/>
          <w:shd w:fill="auto" w:val="clear"/>
        </w:rPr>
        <w:t xml:space="preserve"> o qual é </w:t>
      </w:r>
      <w:r>
        <w:rPr>
          <w:rFonts w:ascii="Times New Roman" w:hAnsi="Times New Roman" w:cs="Times New Roman" w:eastAsia="Times New Roman"/>
          <w:color w:val="auto"/>
          <w:spacing w:val="0"/>
          <w:position w:val="0"/>
          <w:sz w:val="24"/>
          <w:shd w:fill="FFFFFF" w:val="clear"/>
        </w:rPr>
        <w:t xml:space="preserve">a menor concentração elementar mensurável em um determinado método, e o limite de quantificação (LQ), </w:t>
      </w:r>
      <w:r>
        <w:rPr>
          <w:rFonts w:ascii="Times New Roman" w:hAnsi="Times New Roman" w:cs="Times New Roman" w:eastAsia="Times New Roman"/>
          <w:color w:val="auto"/>
          <w:spacing w:val="0"/>
          <w:position w:val="0"/>
          <w:sz w:val="24"/>
          <w:shd w:fill="auto" w:val="clear"/>
        </w:rPr>
        <w:t xml:space="preserve">o qual é </w:t>
      </w:r>
      <w:r>
        <w:rPr>
          <w:rFonts w:ascii="Times New Roman" w:hAnsi="Times New Roman" w:cs="Times New Roman" w:eastAsia="Times New Roman"/>
          <w:color w:val="auto"/>
          <w:spacing w:val="0"/>
          <w:position w:val="0"/>
          <w:sz w:val="24"/>
          <w:shd w:fill="FFFFFF" w:val="clear"/>
        </w:rPr>
        <w:t xml:space="preserve">a menor concentração elementar mensurável como precisão e exatidão em um determinado método (BRASIL, 2017), foram baseada em parâmetros da curva analítica de calibração. </w:t>
      </w:r>
    </w:p>
    <w:p>
      <w:pPr>
        <w:spacing w:before="0" w:after="0" w:line="36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Para os cálculos de LD e LQ utilizou-se a fórmula que considera a razão entre o sinal analítico e o sinal de fundo (SBR, do inglês signal-to-background ratio) e a concentração equivalente ao sinal de fundo (BEC, do inglês background equivalente concentration).</w:t>
      </w:r>
    </w:p>
    <w:p>
      <w:pPr>
        <w:spacing w:before="0" w:after="0" w:line="36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O desvio padrão relativo (RSD) do branco foi calculado a partir da intensidade de sinal obtida em 10 leituras independentes do padrão. </w:t>
      </w:r>
    </w:p>
    <w:p>
      <w:pPr>
        <w:spacing w:before="0" w:after="0" w:line="36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As concentrações foram determinadas em </w:t>
      </w:r>
      <w:r>
        <w:rPr>
          <w:rFonts w:ascii="Times New Roman" w:hAnsi="Times New Roman" w:cs="Times New Roman" w:eastAsia="Times New Roman"/>
          <w:color w:val="auto"/>
          <w:spacing w:val="0"/>
          <w:position w:val="0"/>
          <w:sz w:val="24"/>
          <w:shd w:fill="FFFFFF" w:val="clear"/>
        </w:rPr>
        <w:t xml:space="preserve">μg/L e em seguida convertidas para unidade de massa conforme recomenda o m</w:t>
      </w:r>
      <w:r>
        <w:rPr>
          <w:rFonts w:ascii="Times New Roman" w:hAnsi="Times New Roman" w:cs="Times New Roman" w:eastAsia="Times New Roman"/>
          <w:color w:val="auto"/>
          <w:spacing w:val="0"/>
          <w:position w:val="0"/>
          <w:sz w:val="24"/>
          <w:shd w:fill="FFFFFF" w:val="clear"/>
        </w:rPr>
        <w:t xml:space="preserve">étodo EPA 6020 para a determinação da concentração de metais em sedimentos. A partir das triplicatas foi calculada a média e o desvio padrão da média para cada concentração de metal analisado. </w:t>
      </w:r>
    </w:p>
    <w:p>
      <w:pPr>
        <w:spacing w:before="0" w:after="0" w:line="360"/>
        <w:ind w:right="0" w:left="0" w:firstLine="709"/>
        <w:jc w:val="both"/>
        <w:rPr>
          <w:rFonts w:ascii="Times New Roman" w:hAnsi="Times New Roman" w:cs="Times New Roman" w:eastAsia="Times New Roman"/>
          <w:color w:val="auto"/>
          <w:spacing w:val="0"/>
          <w:position w:val="0"/>
          <w:sz w:val="24"/>
          <w:shd w:fill="FFFFFF"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FFFFFF"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FFFFFF"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FFFFFF"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FFFFFF"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FFFFFF" w:val="clear"/>
        </w:rPr>
      </w:pPr>
    </w:p>
    <w:tbl>
      <w:tblPr/>
      <w:tblGrid>
        <w:gridCol w:w="2480"/>
        <w:gridCol w:w="1840"/>
        <w:gridCol w:w="2980"/>
      </w:tblGrid>
      <w:tr>
        <w:trPr>
          <w:trHeight w:val="520" w:hRule="auto"/>
          <w:jc w:val="left"/>
        </w:trPr>
        <w:tc>
          <w:tcPr>
            <w:tcW w:w="7300" w:type="dxa"/>
            <w:gridSpan w:val="3"/>
            <w:tcBorders>
              <w:top w:val="single" w:color="000000" w:sz="0"/>
              <w:left w:val="single" w:color="000000" w:sz="0"/>
              <w:bottom w:val="single" w:color="000000" w:sz="8"/>
              <w:right w:val="single" w:color="000000" w:sz="0"/>
            </w:tcBorders>
            <w:shd w:color="auto" w:fill="auto" w:val="clear"/>
            <w:tcMar>
              <w:left w:w="70" w:type="dxa"/>
              <w:right w:w="70"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Tabela 2</w:t>
            </w:r>
            <w:r>
              <w:rPr>
                <w:rFonts w:ascii="Times New Roman" w:hAnsi="Times New Roman" w:cs="Times New Roman" w:eastAsia="Times New Roman"/>
                <w:color w:val="000000"/>
                <w:spacing w:val="0"/>
                <w:position w:val="0"/>
                <w:sz w:val="24"/>
                <w:shd w:fill="auto" w:val="clear"/>
              </w:rPr>
              <w:t xml:space="preserve"> - Pontos da curva analítica de calibração. Faixa de concentração empregada para todos os metais.</w:t>
            </w:r>
          </w:p>
        </w:tc>
      </w:tr>
      <w:tr>
        <w:trPr>
          <w:trHeight w:val="650" w:hRule="auto"/>
          <w:jc w:val="left"/>
        </w:trPr>
        <w:tc>
          <w:tcPr>
            <w:tcW w:w="2480" w:type="dxa"/>
            <w:tcBorders>
              <w:top w:val="single" w:color="000000" w:sz="0"/>
              <w:left w:val="single" w:color="000000" w:sz="0"/>
              <w:bottom w:val="single" w:color="000000" w:sz="8"/>
              <w:right w:val="single" w:color="000000" w:sz="0"/>
            </w:tcBorders>
            <w:shd w:color="000000" w:fill="538dd5"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Concentração (µg/L) na solução de calibração</w:t>
            </w:r>
          </w:p>
        </w:tc>
        <w:tc>
          <w:tcPr>
            <w:tcW w:w="1840" w:type="dxa"/>
            <w:tcBorders>
              <w:top w:val="single" w:color="000000" w:sz="0"/>
              <w:left w:val="single" w:color="000000" w:sz="4"/>
              <w:bottom w:val="single" w:color="000000" w:sz="8"/>
              <w:right w:val="single" w:color="000000" w:sz="4"/>
            </w:tcBorders>
            <w:shd w:color="000000" w:fill="538dd5"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Volume da solução </w:t>
            </w:r>
            <w:r>
              <w:rPr>
                <w:rFonts w:ascii="Times New Roman" w:hAnsi="Times New Roman" w:cs="Times New Roman" w:eastAsia="Times New Roman"/>
                <w:b/>
                <w:color w:val="auto"/>
                <w:spacing w:val="0"/>
                <w:position w:val="0"/>
                <w:sz w:val="20"/>
                <w:shd w:fill="auto" w:val="clear"/>
              </w:rPr>
              <w:t xml:space="preserve">estoque padrão</w:t>
            </w:r>
            <w:r>
              <w:rPr>
                <w:rFonts w:ascii="Times New Roman" w:hAnsi="Times New Roman" w:cs="Times New Roman" w:eastAsia="Times New Roman"/>
                <w:b/>
                <w:color w:val="000000"/>
                <w:spacing w:val="0"/>
                <w:position w:val="0"/>
                <w:sz w:val="20"/>
                <w:shd w:fill="auto" w:val="clear"/>
              </w:rPr>
              <w:t xml:space="preserve"> (</w:t>
            </w:r>
            <w:r>
              <w:rPr>
                <w:rFonts w:ascii="Times New Roman" w:hAnsi="Times New Roman" w:cs="Times New Roman" w:eastAsia="Times New Roman"/>
                <w:b/>
                <w:color w:val="000000"/>
                <w:spacing w:val="0"/>
                <w:position w:val="0"/>
                <w:sz w:val="24"/>
                <w:shd w:fill="auto" w:val="clear"/>
              </w:rPr>
              <w:t xml:space="preserve">μL)</w:t>
            </w:r>
          </w:p>
        </w:tc>
        <w:tc>
          <w:tcPr>
            <w:tcW w:w="2980" w:type="dxa"/>
            <w:tcBorders>
              <w:top w:val="single" w:color="000000" w:sz="0"/>
              <w:left w:val="single" w:color="000000" w:sz="0"/>
              <w:bottom w:val="single" w:color="000000" w:sz="8"/>
              <w:right w:val="single" w:color="000000" w:sz="0"/>
            </w:tcBorders>
            <w:shd w:color="000000" w:fill="538dd5"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Volume de solução aquosa de HNO</w:t>
            </w:r>
            <w:r>
              <w:rPr>
                <w:rFonts w:ascii="Times New Roman" w:hAnsi="Times New Roman" w:cs="Times New Roman" w:eastAsia="Times New Roman"/>
                <w:b/>
                <w:color w:val="000000"/>
                <w:spacing w:val="0"/>
                <w:position w:val="0"/>
                <w:sz w:val="20"/>
                <w:shd w:fill="auto" w:val="clear"/>
                <w:vertAlign w:val="subscript"/>
              </w:rPr>
              <w:t xml:space="preserve">3</w:t>
            </w:r>
            <w:r>
              <w:rPr>
                <w:rFonts w:ascii="Times New Roman" w:hAnsi="Times New Roman" w:cs="Times New Roman" w:eastAsia="Times New Roman"/>
                <w:b/>
                <w:color w:val="000000"/>
                <w:spacing w:val="0"/>
                <w:position w:val="0"/>
                <w:sz w:val="20"/>
                <w:shd w:fill="auto" w:val="clear"/>
              </w:rPr>
              <w:t xml:space="preserve"> a 2% (</w:t>
            </w:r>
            <w:r>
              <w:rPr>
                <w:rFonts w:ascii="Times New Roman" w:hAnsi="Times New Roman" w:cs="Times New Roman" w:eastAsia="Times New Roman"/>
                <w:b/>
                <w:color w:val="000000"/>
                <w:spacing w:val="0"/>
                <w:position w:val="0"/>
                <w:sz w:val="24"/>
                <w:shd w:fill="auto" w:val="clear"/>
              </w:rPr>
              <w:t xml:space="preserve">μL)</w:t>
            </w:r>
          </w:p>
        </w:tc>
      </w:tr>
      <w:tr>
        <w:trPr>
          <w:trHeight w:val="370" w:hRule="auto"/>
          <w:jc w:val="left"/>
        </w:trPr>
        <w:tc>
          <w:tcPr>
            <w:tcW w:w="2480" w:type="dxa"/>
            <w:tcBorders>
              <w:top w:val="single" w:color="000000" w:sz="0"/>
              <w:left w:val="single" w:color="000000" w:sz="0"/>
              <w:bottom w:val="single" w:color="000000" w:sz="0"/>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w:t>
            </w:r>
          </w:p>
        </w:tc>
        <w:tc>
          <w:tcPr>
            <w:tcW w:w="1840" w:type="dxa"/>
            <w:tcBorders>
              <w:top w:val="single" w:color="000000" w:sz="0"/>
              <w:left w:val="single" w:color="000000" w:sz="4"/>
              <w:bottom w:val="single" w:color="000000" w:sz="0"/>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w:t>
            </w:r>
          </w:p>
        </w:tc>
        <w:tc>
          <w:tcPr>
            <w:tcW w:w="2980" w:type="dxa"/>
            <w:tcBorders>
              <w:top w:val="single" w:color="000000" w:sz="0"/>
              <w:left w:val="single" w:color="000000" w:sz="0"/>
              <w:bottom w:val="single" w:color="000000" w:sz="0"/>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5000</w:t>
            </w:r>
          </w:p>
        </w:tc>
      </w:tr>
      <w:tr>
        <w:trPr>
          <w:trHeight w:val="370" w:hRule="auto"/>
          <w:jc w:val="left"/>
        </w:trPr>
        <w:tc>
          <w:tcPr>
            <w:tcW w:w="2480" w:type="dxa"/>
            <w:tcBorders>
              <w:top w:val="single" w:color="000000" w:sz="4"/>
              <w:left w:val="single" w:color="000000" w:sz="0"/>
              <w:bottom w:val="single" w:color="000000" w:sz="4"/>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15</w:t>
            </w:r>
          </w:p>
        </w:tc>
        <w:tc>
          <w:tcPr>
            <w:tcW w:w="1840"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750</w:t>
            </w:r>
          </w:p>
        </w:tc>
        <w:tc>
          <w:tcPr>
            <w:tcW w:w="2980" w:type="dxa"/>
            <w:tcBorders>
              <w:top w:val="single" w:color="000000" w:sz="4"/>
              <w:left w:val="single" w:color="000000" w:sz="0"/>
              <w:bottom w:val="single" w:color="000000" w:sz="4"/>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4250</w:t>
            </w:r>
          </w:p>
        </w:tc>
      </w:tr>
      <w:tr>
        <w:trPr>
          <w:trHeight w:val="370" w:hRule="auto"/>
          <w:jc w:val="left"/>
        </w:trPr>
        <w:tc>
          <w:tcPr>
            <w:tcW w:w="2480" w:type="dxa"/>
            <w:tcBorders>
              <w:top w:val="single" w:color="000000" w:sz="0"/>
              <w:left w:val="single" w:color="000000" w:sz="0"/>
              <w:bottom w:val="single" w:color="000000" w:sz="0"/>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30</w:t>
            </w:r>
          </w:p>
        </w:tc>
        <w:tc>
          <w:tcPr>
            <w:tcW w:w="1840" w:type="dxa"/>
            <w:tcBorders>
              <w:top w:val="single" w:color="000000" w:sz="0"/>
              <w:left w:val="single" w:color="000000" w:sz="4"/>
              <w:bottom w:val="single" w:color="000000" w:sz="0"/>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1500</w:t>
            </w:r>
          </w:p>
        </w:tc>
        <w:tc>
          <w:tcPr>
            <w:tcW w:w="2980" w:type="dxa"/>
            <w:tcBorders>
              <w:top w:val="single" w:color="000000" w:sz="0"/>
              <w:left w:val="single" w:color="000000" w:sz="0"/>
              <w:bottom w:val="single" w:color="000000" w:sz="0"/>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3500</w:t>
            </w:r>
          </w:p>
        </w:tc>
      </w:tr>
      <w:tr>
        <w:trPr>
          <w:trHeight w:val="370" w:hRule="auto"/>
          <w:jc w:val="left"/>
        </w:trPr>
        <w:tc>
          <w:tcPr>
            <w:tcW w:w="2480" w:type="dxa"/>
            <w:tcBorders>
              <w:top w:val="single" w:color="000000" w:sz="4"/>
              <w:left w:val="single" w:color="000000" w:sz="0"/>
              <w:bottom w:val="single" w:color="000000" w:sz="4"/>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45</w:t>
            </w:r>
          </w:p>
        </w:tc>
        <w:tc>
          <w:tcPr>
            <w:tcW w:w="1840"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2250</w:t>
            </w:r>
          </w:p>
        </w:tc>
        <w:tc>
          <w:tcPr>
            <w:tcW w:w="2980" w:type="dxa"/>
            <w:tcBorders>
              <w:top w:val="single" w:color="000000" w:sz="4"/>
              <w:left w:val="single" w:color="000000" w:sz="0"/>
              <w:bottom w:val="single" w:color="000000" w:sz="4"/>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2750</w:t>
            </w:r>
          </w:p>
        </w:tc>
      </w:tr>
      <w:tr>
        <w:trPr>
          <w:trHeight w:val="370" w:hRule="auto"/>
          <w:jc w:val="left"/>
        </w:trPr>
        <w:tc>
          <w:tcPr>
            <w:tcW w:w="2480" w:type="dxa"/>
            <w:tcBorders>
              <w:top w:val="single" w:color="000000" w:sz="0"/>
              <w:left w:val="single" w:color="000000" w:sz="0"/>
              <w:bottom w:val="single" w:color="000000" w:sz="0"/>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60</w:t>
            </w:r>
          </w:p>
        </w:tc>
        <w:tc>
          <w:tcPr>
            <w:tcW w:w="1840" w:type="dxa"/>
            <w:tcBorders>
              <w:top w:val="single" w:color="000000" w:sz="0"/>
              <w:left w:val="single" w:color="000000" w:sz="4"/>
              <w:bottom w:val="single" w:color="000000" w:sz="0"/>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3000</w:t>
            </w:r>
          </w:p>
        </w:tc>
        <w:tc>
          <w:tcPr>
            <w:tcW w:w="2980" w:type="dxa"/>
            <w:tcBorders>
              <w:top w:val="single" w:color="000000" w:sz="0"/>
              <w:left w:val="single" w:color="000000" w:sz="0"/>
              <w:bottom w:val="single" w:color="000000" w:sz="0"/>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2000</w:t>
            </w:r>
          </w:p>
        </w:tc>
      </w:tr>
      <w:tr>
        <w:trPr>
          <w:trHeight w:val="370" w:hRule="auto"/>
          <w:jc w:val="left"/>
        </w:trPr>
        <w:tc>
          <w:tcPr>
            <w:tcW w:w="2480" w:type="dxa"/>
            <w:tcBorders>
              <w:top w:val="single" w:color="000000" w:sz="4"/>
              <w:left w:val="single" w:color="000000" w:sz="0"/>
              <w:bottom w:val="single" w:color="000000" w:sz="4"/>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75</w:t>
            </w:r>
          </w:p>
        </w:tc>
        <w:tc>
          <w:tcPr>
            <w:tcW w:w="1840"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3750</w:t>
            </w:r>
          </w:p>
        </w:tc>
        <w:tc>
          <w:tcPr>
            <w:tcW w:w="2980" w:type="dxa"/>
            <w:tcBorders>
              <w:top w:val="single" w:color="000000" w:sz="4"/>
              <w:left w:val="single" w:color="000000" w:sz="0"/>
              <w:bottom w:val="single" w:color="000000" w:sz="4"/>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1250</w:t>
            </w:r>
          </w:p>
        </w:tc>
      </w:tr>
      <w:tr>
        <w:trPr>
          <w:trHeight w:val="370" w:hRule="auto"/>
          <w:jc w:val="left"/>
        </w:trPr>
        <w:tc>
          <w:tcPr>
            <w:tcW w:w="2480" w:type="dxa"/>
            <w:tcBorders>
              <w:top w:val="single" w:color="000000" w:sz="0"/>
              <w:left w:val="single" w:color="000000" w:sz="0"/>
              <w:bottom w:val="single" w:color="000000" w:sz="8"/>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90</w:t>
            </w:r>
          </w:p>
        </w:tc>
        <w:tc>
          <w:tcPr>
            <w:tcW w:w="1840" w:type="dxa"/>
            <w:tcBorders>
              <w:top w:val="single" w:color="000000" w:sz="0"/>
              <w:left w:val="single" w:color="000000" w:sz="4"/>
              <w:bottom w:val="single" w:color="000000" w:sz="8"/>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4500</w:t>
            </w:r>
          </w:p>
        </w:tc>
        <w:tc>
          <w:tcPr>
            <w:tcW w:w="2980" w:type="dxa"/>
            <w:tcBorders>
              <w:top w:val="single" w:color="000000" w:sz="0"/>
              <w:left w:val="single" w:color="000000" w:sz="0"/>
              <w:bottom w:val="single" w:color="000000" w:sz="8"/>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500</w:t>
            </w:r>
          </w:p>
        </w:tc>
      </w:tr>
    </w:tbl>
    <w:p>
      <w:pPr>
        <w:spacing w:before="0" w:after="0" w:line="360"/>
        <w:ind w:right="0" w:left="0" w:firstLine="709"/>
        <w:jc w:val="both"/>
        <w:rPr>
          <w:rFonts w:ascii="Times New Roman" w:hAnsi="Times New Roman" w:cs="Times New Roman" w:eastAsia="Times New Roman"/>
          <w:color w:val="auto"/>
          <w:spacing w:val="0"/>
          <w:position w:val="0"/>
          <w:sz w:val="24"/>
          <w:shd w:fill="FFFFFF"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FFFFFF" w:val="clear"/>
          <w:vertAlign w:val="subscript"/>
        </w:rPr>
      </w:pPr>
    </w:p>
    <w:p>
      <w:pPr>
        <w:spacing w:before="0" w:after="0" w:line="360"/>
        <w:ind w:right="0" w:left="0" w:firstLine="709"/>
        <w:jc w:val="both"/>
        <w:rPr>
          <w:rFonts w:ascii="Times New Roman" w:hAnsi="Times New Roman" w:cs="Times New Roman" w:eastAsia="Times New Roman"/>
          <w:color w:val="auto"/>
          <w:spacing w:val="0"/>
          <w:position w:val="0"/>
          <w:sz w:val="24"/>
          <w:shd w:fill="FFFFFF" w:val="clear"/>
          <w:vertAlign w:val="subscript"/>
        </w:rPr>
      </w:pPr>
    </w:p>
    <w:p>
      <w:pPr>
        <w:spacing w:before="0" w:after="0" w:line="360"/>
        <w:ind w:right="0" w:left="0" w:firstLine="709"/>
        <w:jc w:val="both"/>
        <w:rPr>
          <w:rFonts w:ascii="Times New Roman" w:hAnsi="Times New Roman" w:cs="Times New Roman" w:eastAsia="Times New Roman"/>
          <w:color w:val="auto"/>
          <w:spacing w:val="0"/>
          <w:position w:val="0"/>
          <w:sz w:val="24"/>
          <w:shd w:fill="FFFFFF" w:val="clear"/>
          <w:vertAlign w:val="subscript"/>
        </w:rPr>
      </w:pPr>
    </w:p>
    <w:p>
      <w:pPr>
        <w:spacing w:before="0" w:after="0" w:line="360"/>
        <w:ind w:right="0" w:left="0" w:firstLine="709"/>
        <w:jc w:val="both"/>
        <w:rPr>
          <w:rFonts w:ascii="Times New Roman" w:hAnsi="Times New Roman" w:cs="Times New Roman" w:eastAsia="Times New Roman"/>
          <w:color w:val="auto"/>
          <w:spacing w:val="0"/>
          <w:position w:val="0"/>
          <w:sz w:val="24"/>
          <w:shd w:fill="FFFFFF" w:val="clear"/>
          <w:vertAlign w:val="subscript"/>
        </w:rPr>
      </w:pPr>
    </w:p>
    <w:p>
      <w:pPr>
        <w:spacing w:before="0" w:after="0" w:line="360"/>
        <w:ind w:right="0" w:left="0" w:firstLine="709"/>
        <w:jc w:val="both"/>
        <w:rPr>
          <w:rFonts w:ascii="Times New Roman" w:hAnsi="Times New Roman" w:cs="Times New Roman" w:eastAsia="Times New Roman"/>
          <w:color w:val="auto"/>
          <w:spacing w:val="0"/>
          <w:position w:val="0"/>
          <w:sz w:val="24"/>
          <w:shd w:fill="FFFFFF" w:val="clear"/>
          <w:vertAlign w:val="subscript"/>
        </w:rPr>
      </w:pPr>
    </w:p>
    <w:p>
      <w:pPr>
        <w:spacing w:before="0" w:after="0" w:line="360"/>
        <w:ind w:right="0" w:left="0" w:firstLine="709"/>
        <w:jc w:val="both"/>
        <w:rPr>
          <w:rFonts w:ascii="Times New Roman" w:hAnsi="Times New Roman" w:cs="Times New Roman" w:eastAsia="Times New Roman"/>
          <w:color w:val="auto"/>
          <w:spacing w:val="0"/>
          <w:position w:val="0"/>
          <w:sz w:val="24"/>
          <w:shd w:fill="FFFFFF" w:val="clear"/>
          <w:vertAlign w:val="subscript"/>
        </w:rPr>
      </w:pPr>
    </w:p>
    <w:p>
      <w:pPr>
        <w:spacing w:before="0" w:after="0" w:line="360"/>
        <w:ind w:right="0" w:left="0" w:firstLine="709"/>
        <w:jc w:val="both"/>
        <w:rPr>
          <w:rFonts w:ascii="Times New Roman" w:hAnsi="Times New Roman" w:cs="Times New Roman" w:eastAsia="Times New Roman"/>
          <w:color w:val="auto"/>
          <w:spacing w:val="0"/>
          <w:position w:val="0"/>
          <w:sz w:val="24"/>
          <w:shd w:fill="FFFFFF" w:val="clear"/>
          <w:vertAlign w:val="subscript"/>
        </w:rPr>
      </w:pPr>
    </w:p>
    <w:p>
      <w:pPr>
        <w:spacing w:before="0" w:after="0" w:line="259"/>
        <w:ind w:right="0" w:left="-142" w:firstLine="709"/>
        <w:jc w:val="left"/>
        <w:rPr>
          <w:rFonts w:ascii="Times New Roman" w:hAnsi="Times New Roman" w:cs="Times New Roman" w:eastAsia="Times New Roman"/>
          <w:color w:val="auto"/>
          <w:spacing w:val="0"/>
          <w:position w:val="0"/>
          <w:sz w:val="24"/>
          <w:shd w:fill="FFFFFF" w:val="clear"/>
        </w:rPr>
      </w:pPr>
    </w:p>
    <w:p>
      <w:pPr>
        <w:spacing w:before="0" w:after="0" w:line="259"/>
        <w:ind w:right="0" w:left="-142" w:firstLine="709"/>
        <w:jc w:val="left"/>
        <w:rPr>
          <w:rFonts w:ascii="Times New Roman" w:hAnsi="Times New Roman" w:cs="Times New Roman" w:eastAsia="Times New Roman"/>
          <w:color w:val="auto"/>
          <w:spacing w:val="0"/>
          <w:position w:val="0"/>
          <w:sz w:val="24"/>
          <w:shd w:fill="FFFFFF" w:val="clear"/>
        </w:rPr>
      </w:pPr>
    </w:p>
    <w:p>
      <w:pPr>
        <w:spacing w:before="0" w:after="0" w:line="259"/>
        <w:ind w:right="0" w:left="-142" w:firstLine="709"/>
        <w:jc w:val="left"/>
        <w:rPr>
          <w:rFonts w:ascii="Times New Roman" w:hAnsi="Times New Roman" w:cs="Times New Roman" w:eastAsia="Times New Roman"/>
          <w:color w:val="auto"/>
          <w:spacing w:val="0"/>
          <w:position w:val="0"/>
          <w:sz w:val="24"/>
          <w:shd w:fill="FFFFFF" w:val="clear"/>
        </w:rPr>
      </w:pPr>
    </w:p>
    <w:p>
      <w:pPr>
        <w:spacing w:before="0" w:after="0" w:line="259"/>
        <w:ind w:right="0" w:left="-142" w:firstLine="709"/>
        <w:jc w:val="left"/>
        <w:rPr>
          <w:rFonts w:ascii="Times New Roman" w:hAnsi="Times New Roman" w:cs="Times New Roman" w:eastAsia="Times New Roman"/>
          <w:color w:val="auto"/>
          <w:spacing w:val="0"/>
          <w:position w:val="0"/>
          <w:sz w:val="24"/>
          <w:shd w:fill="FFFFFF" w:val="clear"/>
        </w:rPr>
      </w:pPr>
    </w:p>
    <w:p>
      <w:pPr>
        <w:keepNext w:val="true"/>
        <w:keepLines w:val="true"/>
        <w:numPr>
          <w:ilvl w:val="0"/>
          <w:numId w:val="189"/>
        </w:numPr>
        <w:spacing w:before="0" w:after="0" w:line="259"/>
        <w:ind w:right="0" w:left="714" w:hanging="357"/>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auto" w:val="clear"/>
        </w:rPr>
        <w:t xml:space="preserve">RESULTADOS e DISCUSSÃO</w:t>
      </w:r>
      <w:r>
        <w:rPr>
          <w:rFonts w:ascii="Times New Roman" w:hAnsi="Times New Roman" w:cs="Times New Roman" w:eastAsia="Times New Roman"/>
          <w:b/>
          <w:color w:val="auto"/>
          <w:spacing w:val="0"/>
          <w:position w:val="0"/>
          <w:sz w:val="24"/>
          <w:shd w:fill="FFFFFF" w:val="clear"/>
        </w:rPr>
        <w:t xml:space="preserve"> </w:t>
      </w:r>
    </w:p>
    <w:p>
      <w:pPr>
        <w:spacing w:before="0" w:after="0" w:line="259"/>
        <w:ind w:right="0" w:left="-142" w:firstLine="709"/>
        <w:jc w:val="left"/>
        <w:rPr>
          <w:rFonts w:ascii="Times New Roman" w:hAnsi="Times New Roman" w:cs="Times New Roman" w:eastAsia="Times New Roman"/>
          <w:color w:val="auto"/>
          <w:spacing w:val="0"/>
          <w:position w:val="0"/>
          <w:sz w:val="24"/>
          <w:shd w:fill="FFFFFF" w:val="clear"/>
        </w:rPr>
      </w:pPr>
    </w:p>
    <w:p>
      <w:pPr>
        <w:keepNext w:val="true"/>
        <w:keepLines w:val="true"/>
        <w:numPr>
          <w:ilvl w:val="0"/>
          <w:numId w:val="191"/>
        </w:numPr>
        <w:spacing w:before="0" w:after="240" w:line="259"/>
        <w:ind w:right="0" w:left="1069"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Características Físico-químicas da água nos pontos de Coleta </w:t>
      </w:r>
    </w:p>
    <w:p>
      <w:pPr>
        <w:spacing w:before="0" w:after="0" w:line="36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Conforme relatado no item 3.3, foram analisados alguns parâmetros físico-químicos da água, nos mesmos pontos onde foram coletados os sedimentos.</w:t>
      </w:r>
    </w:p>
    <w:p>
      <w:pPr>
        <w:spacing w:before="0" w:after="0" w:line="36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valores de pH, temperatura, condutividade, Eh, salinidade, turbidez da água, oxigênio dissolvido e sólido dissolvidos são apresentados na Tabela 3. Em que pH, temperatura, salinidade e sólidos dissolvidos não mostraram variação significativa entre os pontos de coleta.</w:t>
      </w:r>
    </w:p>
    <w:p>
      <w:pPr>
        <w:spacing w:before="0" w:after="0" w:line="360"/>
        <w:ind w:right="0" w:left="-142" w:firstLine="709"/>
        <w:jc w:val="both"/>
        <w:rPr>
          <w:rFonts w:ascii="Times New Roman" w:hAnsi="Times New Roman" w:cs="Times New Roman" w:eastAsia="Times New Roman"/>
          <w:color w:val="auto"/>
          <w:spacing w:val="0"/>
          <w:position w:val="0"/>
          <w:sz w:val="24"/>
          <w:shd w:fill="auto" w:val="clear"/>
        </w:rPr>
      </w:pPr>
    </w:p>
    <w:tbl>
      <w:tblPr/>
      <w:tblGrid>
        <w:gridCol w:w="1117"/>
        <w:gridCol w:w="722"/>
        <w:gridCol w:w="1171"/>
        <w:gridCol w:w="640"/>
        <w:gridCol w:w="991"/>
        <w:gridCol w:w="1029"/>
        <w:gridCol w:w="1043"/>
        <w:gridCol w:w="1254"/>
        <w:gridCol w:w="1104"/>
      </w:tblGrid>
      <w:tr>
        <w:trPr>
          <w:trHeight w:val="471" w:hRule="auto"/>
          <w:jc w:val="left"/>
        </w:trPr>
        <w:tc>
          <w:tcPr>
            <w:tcW w:w="9071" w:type="dxa"/>
            <w:gridSpan w:val="9"/>
            <w:tcBorders>
              <w:top w:val="single" w:color="000000" w:sz="0"/>
              <w:left w:val="single" w:color="000000" w:sz="0"/>
              <w:bottom w:val="single" w:color="000000" w:sz="8"/>
              <w:right w:val="single" w:color="000000" w:sz="0"/>
            </w:tcBorders>
            <w:shd w:color="auto" w:fill="auto" w:val="clear"/>
            <w:tcMar>
              <w:left w:w="70" w:type="dxa"/>
              <w:right w:w="70"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Tabela 3</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Par</w:t>
            </w:r>
            <w:r>
              <w:rPr>
                <w:rFonts w:ascii="Times New Roman" w:hAnsi="Times New Roman" w:cs="Times New Roman" w:eastAsia="Times New Roman"/>
                <w:color w:val="000000"/>
                <w:spacing w:val="0"/>
                <w:position w:val="0"/>
                <w:sz w:val="24"/>
                <w:shd w:fill="auto" w:val="clear"/>
              </w:rPr>
              <w:t xml:space="preserve">âmetros físico-químicos da água no dia da coleta.</w:t>
            </w:r>
          </w:p>
        </w:tc>
      </w:tr>
      <w:tr>
        <w:trPr>
          <w:trHeight w:val="420" w:hRule="auto"/>
          <w:jc w:val="left"/>
        </w:trPr>
        <w:tc>
          <w:tcPr>
            <w:tcW w:w="1117" w:type="dxa"/>
            <w:tcBorders>
              <w:top w:val="single" w:color="000000" w:sz="0"/>
              <w:left w:val="single" w:color="000000" w:sz="0"/>
              <w:bottom w:val="single" w:color="000000" w:sz="8"/>
              <w:right w:val="single" w:color="000000" w:sz="4"/>
            </w:tcBorders>
            <w:shd w:color="000000" w:fill="538dd5"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Data</w:t>
            </w:r>
          </w:p>
        </w:tc>
        <w:tc>
          <w:tcPr>
            <w:tcW w:w="722" w:type="dxa"/>
            <w:tcBorders>
              <w:top w:val="single" w:color="000000" w:sz="0"/>
              <w:left w:val="single" w:color="000000" w:sz="4"/>
              <w:bottom w:val="single" w:color="000000" w:sz="8"/>
              <w:right w:val="single" w:color="000000" w:sz="4"/>
            </w:tcBorders>
            <w:shd w:color="000000" w:fill="538dd5"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Pontos</w:t>
            </w:r>
          </w:p>
        </w:tc>
        <w:tc>
          <w:tcPr>
            <w:tcW w:w="1171" w:type="dxa"/>
            <w:tcBorders>
              <w:top w:val="single" w:color="000000" w:sz="0"/>
              <w:left w:val="single" w:color="000000" w:sz="4"/>
              <w:bottom w:val="single" w:color="000000" w:sz="8"/>
              <w:right w:val="single" w:color="000000" w:sz="4"/>
            </w:tcBorders>
            <w:shd w:color="000000" w:fill="538dd5"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Temp. (°C)</w:t>
            </w:r>
          </w:p>
        </w:tc>
        <w:tc>
          <w:tcPr>
            <w:tcW w:w="640" w:type="dxa"/>
            <w:tcBorders>
              <w:top w:val="single" w:color="000000" w:sz="0"/>
              <w:left w:val="single" w:color="000000" w:sz="4"/>
              <w:bottom w:val="single" w:color="000000" w:sz="8"/>
              <w:right w:val="single" w:color="000000" w:sz="4"/>
            </w:tcBorders>
            <w:shd w:color="000000" w:fill="538dd5"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pH</w:t>
            </w:r>
          </w:p>
        </w:tc>
        <w:tc>
          <w:tcPr>
            <w:tcW w:w="991" w:type="dxa"/>
            <w:tcBorders>
              <w:top w:val="single" w:color="000000" w:sz="0"/>
              <w:left w:val="single" w:color="000000" w:sz="4"/>
              <w:bottom w:val="single" w:color="000000" w:sz="8"/>
              <w:right w:val="single" w:color="000000" w:sz="4"/>
            </w:tcBorders>
            <w:shd w:color="000000" w:fill="538dd5"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Eh (mV)</w:t>
            </w:r>
          </w:p>
        </w:tc>
        <w:tc>
          <w:tcPr>
            <w:tcW w:w="1029" w:type="dxa"/>
            <w:tcBorders>
              <w:top w:val="single" w:color="000000" w:sz="0"/>
              <w:left w:val="single" w:color="000000" w:sz="4"/>
              <w:bottom w:val="single" w:color="000000" w:sz="8"/>
              <w:right w:val="single" w:color="000000" w:sz="4"/>
            </w:tcBorders>
            <w:shd w:color="000000" w:fill="538dd5"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Turbidez</w:t>
            </w:r>
          </w:p>
        </w:tc>
        <w:tc>
          <w:tcPr>
            <w:tcW w:w="1043" w:type="dxa"/>
            <w:tcBorders>
              <w:top w:val="single" w:color="000000" w:sz="0"/>
              <w:left w:val="single" w:color="000000" w:sz="4"/>
              <w:bottom w:val="single" w:color="000000" w:sz="8"/>
              <w:right w:val="single" w:color="000000" w:sz="4"/>
            </w:tcBorders>
            <w:shd w:color="000000" w:fill="538dd5"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OD (mg/L)</w:t>
            </w:r>
          </w:p>
        </w:tc>
        <w:tc>
          <w:tcPr>
            <w:tcW w:w="1254" w:type="dxa"/>
            <w:tcBorders>
              <w:top w:val="single" w:color="000000" w:sz="0"/>
              <w:left w:val="single" w:color="000000" w:sz="4"/>
              <w:bottom w:val="single" w:color="000000" w:sz="8"/>
              <w:right w:val="single" w:color="000000" w:sz="4"/>
            </w:tcBorders>
            <w:shd w:color="000000" w:fill="538dd5"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TSD (mg/L)</w:t>
            </w:r>
          </w:p>
        </w:tc>
        <w:tc>
          <w:tcPr>
            <w:tcW w:w="1104" w:type="dxa"/>
            <w:tcBorders>
              <w:top w:val="single" w:color="000000" w:sz="0"/>
              <w:left w:val="single" w:color="000000" w:sz="4"/>
              <w:bottom w:val="single" w:color="000000" w:sz="8"/>
              <w:right w:val="single" w:color="000000" w:sz="0"/>
            </w:tcBorders>
            <w:shd w:color="000000" w:fill="538dd5"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Salinidade</w:t>
            </w:r>
          </w:p>
        </w:tc>
      </w:tr>
      <w:tr>
        <w:trPr>
          <w:trHeight w:val="370" w:hRule="auto"/>
          <w:jc w:val="left"/>
        </w:trPr>
        <w:tc>
          <w:tcPr>
            <w:tcW w:w="1117"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20/11/2018</w:t>
            </w:r>
          </w:p>
        </w:tc>
        <w:tc>
          <w:tcPr>
            <w:tcW w:w="722" w:type="dxa"/>
            <w:tcBorders>
              <w:top w:val="single" w:color="000000" w:sz="0"/>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P1</w:t>
            </w:r>
            <w:r>
              <w:rPr>
                <w:rFonts w:ascii="Times New Roman" w:hAnsi="Times New Roman" w:cs="Times New Roman" w:eastAsia="Times New Roman"/>
                <w:color w:val="000000"/>
                <w:spacing w:val="0"/>
                <w:position w:val="0"/>
                <w:sz w:val="20"/>
                <w:shd w:fill="auto" w:val="clear"/>
                <w:vertAlign w:val="subscript"/>
              </w:rPr>
              <w:t xml:space="preserve">F</w:t>
            </w:r>
          </w:p>
        </w:tc>
        <w:tc>
          <w:tcPr>
            <w:tcW w:w="1171" w:type="dxa"/>
            <w:tcBorders>
              <w:top w:val="single" w:color="000000" w:sz="0"/>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23,3</w:t>
            </w:r>
          </w:p>
        </w:tc>
        <w:tc>
          <w:tcPr>
            <w:tcW w:w="640" w:type="dxa"/>
            <w:tcBorders>
              <w:top w:val="single" w:color="000000" w:sz="0"/>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8,13</w:t>
            </w:r>
          </w:p>
        </w:tc>
        <w:tc>
          <w:tcPr>
            <w:tcW w:w="991" w:type="dxa"/>
            <w:tcBorders>
              <w:top w:val="single" w:color="000000" w:sz="0"/>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217</w:t>
            </w:r>
          </w:p>
        </w:tc>
        <w:tc>
          <w:tcPr>
            <w:tcW w:w="1029" w:type="dxa"/>
            <w:tcBorders>
              <w:top w:val="single" w:color="000000" w:sz="0"/>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10,23</w:t>
            </w:r>
          </w:p>
        </w:tc>
        <w:tc>
          <w:tcPr>
            <w:tcW w:w="1043" w:type="dxa"/>
            <w:tcBorders>
              <w:top w:val="single" w:color="000000" w:sz="0"/>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4,99</w:t>
            </w:r>
          </w:p>
        </w:tc>
        <w:tc>
          <w:tcPr>
            <w:tcW w:w="1254" w:type="dxa"/>
            <w:tcBorders>
              <w:top w:val="single" w:color="000000" w:sz="0"/>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30,14</w:t>
            </w:r>
          </w:p>
        </w:tc>
        <w:tc>
          <w:tcPr>
            <w:tcW w:w="1104" w:type="dxa"/>
            <w:tcBorders>
              <w:top w:val="single" w:color="000000" w:sz="0"/>
              <w:left w:val="single" w:color="000000" w:sz="4"/>
              <w:bottom w:val="single" w:color="000000" w:sz="4"/>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32,85</w:t>
            </w:r>
          </w:p>
        </w:tc>
      </w:tr>
      <w:tr>
        <w:trPr>
          <w:trHeight w:val="370" w:hRule="auto"/>
          <w:jc w:val="left"/>
        </w:trPr>
        <w:tc>
          <w:tcPr>
            <w:tcW w:w="1117"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21/11/2018</w:t>
            </w:r>
          </w:p>
        </w:tc>
        <w:tc>
          <w:tcPr>
            <w:tcW w:w="722"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PC</w:t>
            </w:r>
            <w:r>
              <w:rPr>
                <w:rFonts w:ascii="Times New Roman" w:hAnsi="Times New Roman" w:cs="Times New Roman" w:eastAsia="Times New Roman"/>
                <w:color w:val="000000"/>
                <w:spacing w:val="0"/>
                <w:position w:val="0"/>
                <w:sz w:val="20"/>
                <w:shd w:fill="auto" w:val="clear"/>
                <w:vertAlign w:val="subscript"/>
              </w:rPr>
              <w:t xml:space="preserve">F</w:t>
            </w:r>
          </w:p>
        </w:tc>
        <w:tc>
          <w:tcPr>
            <w:tcW w:w="1171"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21,4</w:t>
            </w:r>
          </w:p>
        </w:tc>
        <w:tc>
          <w:tcPr>
            <w:tcW w:w="640"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8,1</w:t>
            </w:r>
          </w:p>
        </w:tc>
        <w:tc>
          <w:tcPr>
            <w:tcW w:w="991"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182</w:t>
            </w:r>
          </w:p>
        </w:tc>
        <w:tc>
          <w:tcPr>
            <w:tcW w:w="1029"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23,13</w:t>
            </w:r>
          </w:p>
        </w:tc>
        <w:tc>
          <w:tcPr>
            <w:tcW w:w="1043"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4,86</w:t>
            </w:r>
          </w:p>
        </w:tc>
        <w:tc>
          <w:tcPr>
            <w:tcW w:w="1254"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31,67</w:t>
            </w:r>
          </w:p>
        </w:tc>
        <w:tc>
          <w:tcPr>
            <w:tcW w:w="1104" w:type="dxa"/>
            <w:tcBorders>
              <w:top w:val="single" w:color="000000" w:sz="4"/>
              <w:left w:val="single" w:color="000000" w:sz="4"/>
              <w:bottom w:val="single" w:color="000000" w:sz="4"/>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34,71</w:t>
            </w:r>
          </w:p>
        </w:tc>
      </w:tr>
      <w:tr>
        <w:trPr>
          <w:trHeight w:val="370" w:hRule="auto"/>
          <w:jc w:val="left"/>
        </w:trPr>
        <w:tc>
          <w:tcPr>
            <w:tcW w:w="1117"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20/11/2018</w:t>
            </w:r>
          </w:p>
        </w:tc>
        <w:tc>
          <w:tcPr>
            <w:tcW w:w="722"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P4</w:t>
            </w:r>
            <w:r>
              <w:rPr>
                <w:rFonts w:ascii="Times New Roman" w:hAnsi="Times New Roman" w:cs="Times New Roman" w:eastAsia="Times New Roman"/>
                <w:color w:val="000000"/>
                <w:spacing w:val="0"/>
                <w:position w:val="0"/>
                <w:sz w:val="20"/>
                <w:shd w:fill="auto" w:val="clear"/>
                <w:vertAlign w:val="subscript"/>
              </w:rPr>
              <w:t xml:space="preserve">F</w:t>
            </w:r>
          </w:p>
        </w:tc>
        <w:tc>
          <w:tcPr>
            <w:tcW w:w="1171"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20,9</w:t>
            </w:r>
          </w:p>
        </w:tc>
        <w:tc>
          <w:tcPr>
            <w:tcW w:w="640"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7,98</w:t>
            </w:r>
          </w:p>
        </w:tc>
        <w:tc>
          <w:tcPr>
            <w:tcW w:w="991"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228</w:t>
            </w:r>
          </w:p>
        </w:tc>
        <w:tc>
          <w:tcPr>
            <w:tcW w:w="1029"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5,66</w:t>
            </w:r>
          </w:p>
        </w:tc>
        <w:tc>
          <w:tcPr>
            <w:tcW w:w="1043"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3,25</w:t>
            </w:r>
          </w:p>
        </w:tc>
        <w:tc>
          <w:tcPr>
            <w:tcW w:w="1254"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31,88</w:t>
            </w:r>
          </w:p>
        </w:tc>
        <w:tc>
          <w:tcPr>
            <w:tcW w:w="1104" w:type="dxa"/>
            <w:tcBorders>
              <w:top w:val="single" w:color="000000" w:sz="4"/>
              <w:left w:val="single" w:color="000000" w:sz="4"/>
              <w:bottom w:val="single" w:color="000000" w:sz="4"/>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34,96</w:t>
            </w:r>
          </w:p>
        </w:tc>
      </w:tr>
      <w:tr>
        <w:trPr>
          <w:trHeight w:val="370" w:hRule="auto"/>
          <w:jc w:val="left"/>
        </w:trPr>
        <w:tc>
          <w:tcPr>
            <w:tcW w:w="1117"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20/11/2018</w:t>
            </w:r>
          </w:p>
        </w:tc>
        <w:tc>
          <w:tcPr>
            <w:tcW w:w="722"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P5</w:t>
            </w:r>
            <w:r>
              <w:rPr>
                <w:rFonts w:ascii="Times New Roman" w:hAnsi="Times New Roman" w:cs="Times New Roman" w:eastAsia="Times New Roman"/>
                <w:color w:val="000000"/>
                <w:spacing w:val="0"/>
                <w:position w:val="0"/>
                <w:sz w:val="20"/>
                <w:shd w:fill="auto" w:val="clear"/>
                <w:vertAlign w:val="subscript"/>
              </w:rPr>
              <w:t xml:space="preserve">F</w:t>
            </w:r>
          </w:p>
        </w:tc>
        <w:tc>
          <w:tcPr>
            <w:tcW w:w="1171"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23,2</w:t>
            </w:r>
          </w:p>
        </w:tc>
        <w:tc>
          <w:tcPr>
            <w:tcW w:w="640"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8,1</w:t>
            </w:r>
          </w:p>
        </w:tc>
        <w:tc>
          <w:tcPr>
            <w:tcW w:w="991"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204</w:t>
            </w:r>
          </w:p>
        </w:tc>
        <w:tc>
          <w:tcPr>
            <w:tcW w:w="1029"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33,83</w:t>
            </w:r>
          </w:p>
        </w:tc>
        <w:tc>
          <w:tcPr>
            <w:tcW w:w="1043"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5,19</w:t>
            </w:r>
          </w:p>
        </w:tc>
        <w:tc>
          <w:tcPr>
            <w:tcW w:w="1254"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30,17</w:t>
            </w:r>
          </w:p>
        </w:tc>
        <w:tc>
          <w:tcPr>
            <w:tcW w:w="1104" w:type="dxa"/>
            <w:tcBorders>
              <w:top w:val="single" w:color="000000" w:sz="4"/>
              <w:left w:val="single" w:color="000000" w:sz="4"/>
              <w:bottom w:val="single" w:color="000000" w:sz="4"/>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32,94</w:t>
            </w:r>
          </w:p>
        </w:tc>
      </w:tr>
      <w:tr>
        <w:trPr>
          <w:trHeight w:val="370" w:hRule="auto"/>
          <w:jc w:val="left"/>
        </w:trPr>
        <w:tc>
          <w:tcPr>
            <w:tcW w:w="1117" w:type="dxa"/>
            <w:tcBorders>
              <w:top w:val="single" w:color="000000" w:sz="4"/>
              <w:left w:val="single" w:color="000000" w:sz="0"/>
              <w:bottom w:val="single" w:color="000000" w:sz="8"/>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20/11/2018</w:t>
            </w:r>
          </w:p>
        </w:tc>
        <w:tc>
          <w:tcPr>
            <w:tcW w:w="722" w:type="dxa"/>
            <w:tcBorders>
              <w:top w:val="single" w:color="000000" w:sz="4"/>
              <w:left w:val="single" w:color="000000" w:sz="4"/>
              <w:bottom w:val="single" w:color="000000" w:sz="8"/>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P3</w:t>
            </w:r>
            <w:r>
              <w:rPr>
                <w:rFonts w:ascii="Times New Roman" w:hAnsi="Times New Roman" w:cs="Times New Roman" w:eastAsia="Times New Roman"/>
                <w:color w:val="000000"/>
                <w:spacing w:val="0"/>
                <w:position w:val="0"/>
                <w:sz w:val="20"/>
                <w:shd w:fill="auto" w:val="clear"/>
                <w:vertAlign w:val="subscript"/>
              </w:rPr>
              <w:t xml:space="preserve">S</w:t>
            </w:r>
          </w:p>
        </w:tc>
        <w:tc>
          <w:tcPr>
            <w:tcW w:w="1171" w:type="dxa"/>
            <w:tcBorders>
              <w:top w:val="single" w:color="000000" w:sz="4"/>
              <w:left w:val="single" w:color="000000" w:sz="4"/>
              <w:bottom w:val="single" w:color="000000" w:sz="8"/>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22,9</w:t>
            </w:r>
          </w:p>
        </w:tc>
        <w:tc>
          <w:tcPr>
            <w:tcW w:w="640" w:type="dxa"/>
            <w:tcBorders>
              <w:top w:val="single" w:color="000000" w:sz="4"/>
              <w:left w:val="single" w:color="000000" w:sz="4"/>
              <w:bottom w:val="single" w:color="000000" w:sz="8"/>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8,04</w:t>
            </w:r>
          </w:p>
        </w:tc>
        <w:tc>
          <w:tcPr>
            <w:tcW w:w="991" w:type="dxa"/>
            <w:tcBorders>
              <w:top w:val="single" w:color="000000" w:sz="4"/>
              <w:left w:val="single" w:color="000000" w:sz="4"/>
              <w:bottom w:val="single" w:color="000000" w:sz="8"/>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18</w:t>
            </w:r>
          </w:p>
        </w:tc>
        <w:tc>
          <w:tcPr>
            <w:tcW w:w="1029" w:type="dxa"/>
            <w:tcBorders>
              <w:top w:val="single" w:color="000000" w:sz="4"/>
              <w:left w:val="single" w:color="000000" w:sz="4"/>
              <w:bottom w:val="single" w:color="000000" w:sz="8"/>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14,5</w:t>
            </w:r>
          </w:p>
        </w:tc>
        <w:tc>
          <w:tcPr>
            <w:tcW w:w="1043" w:type="dxa"/>
            <w:tcBorders>
              <w:top w:val="single" w:color="000000" w:sz="4"/>
              <w:left w:val="single" w:color="000000" w:sz="4"/>
              <w:bottom w:val="single" w:color="000000" w:sz="8"/>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4,87</w:t>
            </w:r>
          </w:p>
        </w:tc>
        <w:tc>
          <w:tcPr>
            <w:tcW w:w="1254" w:type="dxa"/>
            <w:tcBorders>
              <w:top w:val="single" w:color="000000" w:sz="4"/>
              <w:left w:val="single" w:color="000000" w:sz="4"/>
              <w:bottom w:val="single" w:color="000000" w:sz="8"/>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27,54</w:t>
            </w:r>
          </w:p>
        </w:tc>
        <w:tc>
          <w:tcPr>
            <w:tcW w:w="1104" w:type="dxa"/>
            <w:tcBorders>
              <w:top w:val="single" w:color="000000" w:sz="4"/>
              <w:left w:val="single" w:color="000000" w:sz="4"/>
              <w:bottom w:val="single" w:color="000000" w:sz="8"/>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29,2</w:t>
            </w:r>
          </w:p>
        </w:tc>
      </w:tr>
    </w:tbl>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pH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Potencial hidrogeniônico; Eh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Potencial oxi-redução; OD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Oxig</w:t>
      </w:r>
      <w:r>
        <w:rPr>
          <w:rFonts w:ascii="Times New Roman" w:hAnsi="Times New Roman" w:cs="Times New Roman" w:eastAsia="Times New Roman"/>
          <w:color w:val="auto"/>
          <w:spacing w:val="0"/>
          <w:position w:val="0"/>
          <w:sz w:val="20"/>
          <w:shd w:fill="auto" w:val="clear"/>
        </w:rPr>
        <w:t xml:space="preserve">ênio dissolvido; TDS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Total de s</w:t>
      </w:r>
      <w:r>
        <w:rPr>
          <w:rFonts w:ascii="Times New Roman" w:hAnsi="Times New Roman" w:cs="Times New Roman" w:eastAsia="Times New Roman"/>
          <w:color w:val="auto"/>
          <w:spacing w:val="0"/>
          <w:position w:val="0"/>
          <w:sz w:val="20"/>
          <w:shd w:fill="auto" w:val="clear"/>
        </w:rPr>
        <w:t xml:space="preserve">ólidos dissolvidos.</w:t>
      </w:r>
    </w:p>
    <w:p>
      <w:pPr>
        <w:spacing w:before="0" w:after="0" w:line="360"/>
        <w:ind w:right="0" w:left="-142"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Nos pontos analisados a salinidade ficou entre 29,20 e 34,96 permitindo classificar a água da região como estuarina (BRASIL, 2012). Os valores médios de oxigênio dissolvido (OD) apresentaram uma redução significativa do ponto P5 (5,19 mg/L) para o P4 (3,25 mg/L), fato este que pode ser explicado pela localização do ponto de coleta, P4 localiza-se dentro do estaleiro da Marinha, local com menor recirculação de água.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valores de pH (entre 7,98 e 8,13) também estão dentro dos limites estabelecidos para a água estuarina pela Resolução CONAMA 357/05 (BRASIL, 2005). Todos os pontos analisados da Baía de Sepetiba apresentaram valores de Eh na faixa de 18 a 228 mV, com valor médio de 169,8 mV, representando uma caráter oxidativo (JARDIM, 2014). Estas alterações no Eh, apresentadas na análises, podem ser ocasionadas por fatores como qualidade e quantidade de matéria orgânica, temperatura, e disponibilidade de substrato para os diversos processos envolvidos (DE JESUS, 2015).</w:t>
      </w:r>
    </w:p>
    <w:p>
      <w:pPr>
        <w:spacing w:before="0" w:after="0" w:line="36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 ponto importante a se considerar é o fato de que variações nesses parâmetros podem provocar a remobilização dos metais dos sedimentos para a coluna d’água ou o oposto. Como exemplo, baixos valores de pH tornam alguns metais traço mais solúveis, por outro lado, os altos valores de pH favorecem a precipitação e adsorção de alguns metais no sedimento ou em matéria orgânica. Além disso, o pH influencia a mobilidade de metais traço, sendo que em valores baixos de pH e na presença de reações redutoras, metais traços se tornam mais solúveis e disponíveis na coluna d´água. (RODRIGUES FILHO, 1995).</w:t>
      </w:r>
    </w:p>
    <w:p>
      <w:pPr>
        <w:spacing w:before="0" w:after="0" w:line="36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relação ao Eh, a influência na disponibilidade dos metais se dará a partir da oxidação/redução de íons com mais de um estado de valência ou/e dos ligantes. Assim, em condições redutoras a altos valores de pH, alguns metais como Cd, Zn, Cd e Pb tornam-se mais solúveis, pela formação de complexos solúveis mais estáveis e além disso, mudanças nas condições redox, podem favorecer a solubilidade de hidróxidos e óxidos de Fe e Mn (SOUZA et al., 2015).</w:t>
      </w:r>
    </w:p>
    <w:p>
      <w:pPr>
        <w:spacing w:before="0" w:after="0" w:line="360"/>
        <w:ind w:right="0" w:left="-142" w:firstLine="709"/>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216"/>
        </w:numPr>
        <w:spacing w:before="0" w:after="240" w:line="259"/>
        <w:ind w:right="0" w:left="1069"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Análise do teor de metais no sedimento</w:t>
      </w:r>
    </w:p>
    <w:p>
      <w:pPr>
        <w:spacing w:before="0" w:after="0" w:line="36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Conforme mencionado anteriormente, o método de análise aqui proposto é baseado no método EPA 6020 e a aceitabilidade desse método é fundamentada na reprodutibilidade, ou seja, no desempenho comparativo de vários laboratórios com diferentes equipamentos (BRASIL, 2017). No entanto, estudos adicionais foram realizados para corroborar a validação e desempenho do método, como a construção da curva de calibração analítica e os cálculos de limite de detecção e quantificação.</w:t>
      </w:r>
    </w:p>
    <w:p>
      <w:pPr>
        <w:spacing w:before="0" w:after="0" w:line="360"/>
        <w:ind w:right="0" w:left="-142"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Com relação a linearidade do método, este mostrou-se linear na faixa pretendida para os metais em análise, apresentando um coeficiente de correlação “r” superior a 0,99 (Tabela 4), conforme recomendado pelos guias de validação (ABNT NBR/IEC 17025:2005).</w:t>
      </w:r>
    </w:p>
    <w:p>
      <w:pPr>
        <w:spacing w:before="0" w:after="0" w:line="360"/>
        <w:ind w:right="0" w:left="-142"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 partir das curvas analíticas de calibração de cada elemento analisado, confeccionadas conforme citado no item 3.7, foram calculados os limites de detecção e quantificação destes elementos (Tabela 4).</w:t>
      </w:r>
    </w:p>
    <w:p>
      <w:pPr>
        <w:spacing w:before="0" w:after="0" w:line="360"/>
        <w:ind w:right="0" w:left="-142" w:firstLine="709"/>
        <w:jc w:val="both"/>
        <w:rPr>
          <w:rFonts w:ascii="Times New Roman" w:hAnsi="Times New Roman" w:cs="Times New Roman" w:eastAsia="Times New Roman"/>
          <w:color w:val="auto"/>
          <w:spacing w:val="0"/>
          <w:position w:val="0"/>
          <w:sz w:val="24"/>
          <w:shd w:fill="FFFFFF" w:val="clear"/>
        </w:rPr>
      </w:pPr>
    </w:p>
    <w:p>
      <w:pPr>
        <w:spacing w:before="0" w:after="0" w:line="360"/>
        <w:ind w:right="0" w:left="-142" w:firstLine="709"/>
        <w:jc w:val="both"/>
        <w:rPr>
          <w:rFonts w:ascii="Times New Roman" w:hAnsi="Times New Roman" w:cs="Times New Roman" w:eastAsia="Times New Roman"/>
          <w:color w:val="auto"/>
          <w:spacing w:val="0"/>
          <w:position w:val="0"/>
          <w:sz w:val="24"/>
          <w:shd w:fill="FFFFFF" w:val="clear"/>
        </w:rPr>
      </w:pPr>
    </w:p>
    <w:p>
      <w:pPr>
        <w:spacing w:before="0" w:after="0" w:line="360"/>
        <w:ind w:right="0" w:left="-142" w:firstLine="709"/>
        <w:jc w:val="both"/>
        <w:rPr>
          <w:rFonts w:ascii="Times New Roman" w:hAnsi="Times New Roman" w:cs="Times New Roman" w:eastAsia="Times New Roman"/>
          <w:color w:val="auto"/>
          <w:spacing w:val="0"/>
          <w:position w:val="0"/>
          <w:sz w:val="24"/>
          <w:shd w:fill="FFFFFF" w:val="clear"/>
        </w:rPr>
      </w:pPr>
    </w:p>
    <w:p>
      <w:pPr>
        <w:spacing w:before="0" w:after="0" w:line="360"/>
        <w:ind w:right="0" w:left="-142" w:firstLine="709"/>
        <w:jc w:val="both"/>
        <w:rPr>
          <w:rFonts w:ascii="Times New Roman" w:hAnsi="Times New Roman" w:cs="Times New Roman" w:eastAsia="Times New Roman"/>
          <w:color w:val="auto"/>
          <w:spacing w:val="0"/>
          <w:position w:val="0"/>
          <w:sz w:val="24"/>
          <w:shd w:fill="FFFFFF" w:val="clear"/>
        </w:rPr>
      </w:pPr>
    </w:p>
    <w:p>
      <w:pPr>
        <w:spacing w:before="0" w:after="0" w:line="360"/>
        <w:ind w:right="0" w:left="-142" w:firstLine="709"/>
        <w:jc w:val="both"/>
        <w:rPr>
          <w:rFonts w:ascii="Times New Roman" w:hAnsi="Times New Roman" w:cs="Times New Roman" w:eastAsia="Times New Roman"/>
          <w:color w:val="auto"/>
          <w:spacing w:val="0"/>
          <w:position w:val="0"/>
          <w:sz w:val="24"/>
          <w:shd w:fill="FFFFFF" w:val="clear"/>
        </w:rPr>
      </w:pPr>
    </w:p>
    <w:p>
      <w:pPr>
        <w:spacing w:before="0" w:after="0" w:line="360"/>
        <w:ind w:right="0" w:left="-142" w:firstLine="709"/>
        <w:jc w:val="both"/>
        <w:rPr>
          <w:rFonts w:ascii="Times New Roman" w:hAnsi="Times New Roman" w:cs="Times New Roman" w:eastAsia="Times New Roman"/>
          <w:color w:val="auto"/>
          <w:spacing w:val="0"/>
          <w:position w:val="0"/>
          <w:sz w:val="24"/>
          <w:shd w:fill="FFFFFF" w:val="clear"/>
        </w:rPr>
      </w:pPr>
    </w:p>
    <w:p>
      <w:pPr>
        <w:spacing w:before="0" w:after="0" w:line="360"/>
        <w:ind w:right="0" w:left="-142" w:firstLine="709"/>
        <w:jc w:val="both"/>
        <w:rPr>
          <w:rFonts w:ascii="Times New Roman" w:hAnsi="Times New Roman" w:cs="Times New Roman" w:eastAsia="Times New Roman"/>
          <w:color w:val="auto"/>
          <w:spacing w:val="0"/>
          <w:position w:val="0"/>
          <w:sz w:val="24"/>
          <w:shd w:fill="FFFFFF" w:val="clear"/>
        </w:rPr>
      </w:pPr>
    </w:p>
    <w:p>
      <w:pPr>
        <w:spacing w:before="0" w:after="0" w:line="360"/>
        <w:ind w:right="0" w:left="-142" w:firstLine="709"/>
        <w:jc w:val="both"/>
        <w:rPr>
          <w:rFonts w:ascii="Times New Roman" w:hAnsi="Times New Roman" w:cs="Times New Roman" w:eastAsia="Times New Roman"/>
          <w:color w:val="auto"/>
          <w:spacing w:val="0"/>
          <w:position w:val="0"/>
          <w:sz w:val="24"/>
          <w:shd w:fill="FFFFFF" w:val="clear"/>
        </w:rPr>
      </w:pPr>
    </w:p>
    <w:p>
      <w:pPr>
        <w:spacing w:before="0" w:after="0" w:line="259"/>
        <w:ind w:right="0" w:left="-142" w:firstLine="709"/>
        <w:jc w:val="left"/>
        <w:rPr>
          <w:rFonts w:ascii="Times New Roman" w:hAnsi="Times New Roman" w:cs="Times New Roman" w:eastAsia="Times New Roman"/>
          <w:color w:val="auto"/>
          <w:spacing w:val="0"/>
          <w:position w:val="0"/>
          <w:sz w:val="24"/>
          <w:shd w:fill="FFFFFF" w:val="clear"/>
        </w:rPr>
      </w:pPr>
    </w:p>
    <w:p>
      <w:pPr>
        <w:keepNext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Tabela 4 - </w:t>
      </w:r>
      <w:r>
        <w:rPr>
          <w:rFonts w:ascii="Times New Roman" w:hAnsi="Times New Roman" w:cs="Times New Roman" w:eastAsia="Times New Roman"/>
          <w:color w:val="auto"/>
          <w:spacing w:val="0"/>
          <w:position w:val="0"/>
          <w:sz w:val="24"/>
          <w:shd w:fill="auto" w:val="clear"/>
        </w:rPr>
        <w:t xml:space="preserve">Resultados da curva analítica de calibração.</w:t>
      </w:r>
    </w:p>
    <w:tbl>
      <w:tblPr/>
      <w:tblGrid>
        <w:gridCol w:w="1276"/>
        <w:gridCol w:w="1418"/>
        <w:gridCol w:w="1275"/>
        <w:gridCol w:w="1276"/>
        <w:gridCol w:w="2268"/>
        <w:gridCol w:w="1276"/>
      </w:tblGrid>
      <w:tr>
        <w:trPr>
          <w:trHeight w:val="460" w:hRule="auto"/>
          <w:jc w:val="left"/>
        </w:trPr>
        <w:tc>
          <w:tcPr>
            <w:tcW w:w="1276" w:type="dxa"/>
            <w:tcBorders>
              <w:top w:val="single" w:color="000000" w:sz="4"/>
              <w:left w:val="single" w:color="000000" w:sz="0"/>
              <w:bottom w:val="single" w:color="000000" w:sz="8"/>
              <w:right w:val="single" w:color="000000" w:sz="4"/>
            </w:tcBorders>
            <w:shd w:color="000000" w:fill="5b9bd5"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Elemento</w:t>
            </w:r>
          </w:p>
        </w:tc>
        <w:tc>
          <w:tcPr>
            <w:tcW w:w="1418" w:type="dxa"/>
            <w:tcBorders>
              <w:top w:val="single" w:color="000000" w:sz="4"/>
              <w:left w:val="single" w:color="000000" w:sz="0"/>
              <w:bottom w:val="single" w:color="000000" w:sz="8"/>
              <w:right w:val="single" w:color="000000" w:sz="4"/>
            </w:tcBorders>
            <w:shd w:color="000000" w:fill="5b9bd5"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BEC</w:t>
            </w:r>
            <w:r>
              <w:rPr>
                <w:rFonts w:ascii="Times New Roman" w:hAnsi="Times New Roman" w:cs="Times New Roman" w:eastAsia="Times New Roman"/>
                <w:b/>
                <w:color w:val="000000"/>
                <w:spacing w:val="0"/>
                <w:position w:val="0"/>
                <w:sz w:val="20"/>
                <w:shd w:fill="auto" w:val="clear"/>
                <w:vertAlign w:val="superscript"/>
              </w:rPr>
              <w:t xml:space="preserve">a</w:t>
            </w:r>
            <w:r>
              <w:rPr>
                <w:rFonts w:ascii="Times New Roman" w:hAnsi="Times New Roman" w:cs="Times New Roman" w:eastAsia="Times New Roman"/>
                <w:b/>
                <w:color w:val="000000"/>
                <w:spacing w:val="0"/>
                <w:position w:val="0"/>
                <w:sz w:val="20"/>
                <w:shd w:fill="auto" w:val="clear"/>
              </w:rPr>
              <w:t xml:space="preserve"> (ug/L)</w:t>
            </w:r>
          </w:p>
        </w:tc>
        <w:tc>
          <w:tcPr>
            <w:tcW w:w="1275" w:type="dxa"/>
            <w:tcBorders>
              <w:top w:val="single" w:color="000000" w:sz="4"/>
              <w:left w:val="single" w:color="000000" w:sz="0"/>
              <w:bottom w:val="single" w:color="000000" w:sz="8"/>
              <w:right w:val="single" w:color="000000" w:sz="4"/>
            </w:tcBorders>
            <w:shd w:color="000000" w:fill="5b9bd5"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LD</w:t>
            </w:r>
            <w:r>
              <w:rPr>
                <w:rFonts w:ascii="Times New Roman" w:hAnsi="Times New Roman" w:cs="Times New Roman" w:eastAsia="Times New Roman"/>
                <w:b/>
                <w:color w:val="000000"/>
                <w:spacing w:val="0"/>
                <w:position w:val="0"/>
                <w:sz w:val="20"/>
                <w:shd w:fill="auto" w:val="clear"/>
                <w:vertAlign w:val="superscript"/>
              </w:rPr>
              <w:t xml:space="preserve">b</w:t>
            </w:r>
            <w:r>
              <w:rPr>
                <w:rFonts w:ascii="Times New Roman" w:hAnsi="Times New Roman" w:cs="Times New Roman" w:eastAsia="Times New Roman"/>
                <w:b/>
                <w:color w:val="000000"/>
                <w:spacing w:val="0"/>
                <w:position w:val="0"/>
                <w:sz w:val="20"/>
                <w:shd w:fill="auto" w:val="clear"/>
              </w:rPr>
              <w:t xml:space="preserve"> (ug/L)</w:t>
            </w:r>
          </w:p>
        </w:tc>
        <w:tc>
          <w:tcPr>
            <w:tcW w:w="1276" w:type="dxa"/>
            <w:tcBorders>
              <w:top w:val="single" w:color="000000" w:sz="4"/>
              <w:left w:val="single" w:color="000000" w:sz="0"/>
              <w:bottom w:val="single" w:color="000000" w:sz="8"/>
              <w:right w:val="single" w:color="000000" w:sz="4"/>
            </w:tcBorders>
            <w:shd w:color="000000" w:fill="5b9bd5"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LQ</w:t>
            </w:r>
            <w:r>
              <w:rPr>
                <w:rFonts w:ascii="Times New Roman" w:hAnsi="Times New Roman" w:cs="Times New Roman" w:eastAsia="Times New Roman"/>
                <w:b/>
                <w:color w:val="000000"/>
                <w:spacing w:val="0"/>
                <w:position w:val="0"/>
                <w:sz w:val="20"/>
                <w:shd w:fill="auto" w:val="clear"/>
                <w:vertAlign w:val="superscript"/>
              </w:rPr>
              <w:t xml:space="preserve">c</w:t>
            </w:r>
            <w:r>
              <w:rPr>
                <w:rFonts w:ascii="Times New Roman" w:hAnsi="Times New Roman" w:cs="Times New Roman" w:eastAsia="Times New Roman"/>
                <w:b/>
                <w:color w:val="000000"/>
                <w:spacing w:val="0"/>
                <w:position w:val="0"/>
                <w:sz w:val="20"/>
                <w:shd w:fill="auto" w:val="clear"/>
              </w:rPr>
              <w:t xml:space="preserve"> (ug/L)</w:t>
            </w:r>
          </w:p>
        </w:tc>
        <w:tc>
          <w:tcPr>
            <w:tcW w:w="2268" w:type="dxa"/>
            <w:tcBorders>
              <w:top w:val="single" w:color="000000" w:sz="4"/>
              <w:left w:val="single" w:color="000000" w:sz="0"/>
              <w:bottom w:val="single" w:color="000000" w:sz="8"/>
              <w:right w:val="single" w:color="000000" w:sz="4"/>
            </w:tcBorders>
            <w:shd w:color="000000" w:fill="5b9bd5"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Eq. Da reta (</w:t>
            </w:r>
            <w:r>
              <w:rPr>
                <w:rFonts w:ascii="Times New Roman" w:hAnsi="Times New Roman" w:cs="Times New Roman" w:eastAsia="Times New Roman"/>
                <w:b/>
                <w:i/>
                <w:color w:val="000000"/>
                <w:spacing w:val="0"/>
                <w:position w:val="0"/>
                <w:sz w:val="20"/>
                <w:shd w:fill="auto" w:val="clear"/>
              </w:rPr>
              <w:t xml:space="preserve">y = ax + b</w:t>
            </w:r>
            <w:r>
              <w:rPr>
                <w:rFonts w:ascii="Times New Roman" w:hAnsi="Times New Roman" w:cs="Times New Roman" w:eastAsia="Times New Roman"/>
                <w:b/>
                <w:color w:val="000000"/>
                <w:spacing w:val="0"/>
                <w:position w:val="0"/>
                <w:sz w:val="20"/>
                <w:shd w:fill="auto" w:val="clear"/>
              </w:rPr>
              <w:t xml:space="preserve">)</w:t>
            </w:r>
          </w:p>
        </w:tc>
        <w:tc>
          <w:tcPr>
            <w:tcW w:w="1276" w:type="dxa"/>
            <w:tcBorders>
              <w:top w:val="single" w:color="000000" w:sz="4"/>
              <w:left w:val="single" w:color="000000" w:sz="0"/>
              <w:bottom w:val="single" w:color="000000" w:sz="8"/>
              <w:right w:val="single" w:color="000000" w:sz="0"/>
            </w:tcBorders>
            <w:shd w:color="000000" w:fill="5b9bd5"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r</w:t>
            </w:r>
            <w:r>
              <w:rPr>
                <w:rFonts w:ascii="Times New Roman" w:hAnsi="Times New Roman" w:cs="Times New Roman" w:eastAsia="Times New Roman"/>
                <w:b/>
                <w:color w:val="000000"/>
                <w:spacing w:val="0"/>
                <w:position w:val="0"/>
                <w:sz w:val="20"/>
                <w:shd w:fill="auto" w:val="clear"/>
                <w:vertAlign w:val="superscript"/>
              </w:rPr>
              <w:t xml:space="preserve">d</w:t>
            </w:r>
          </w:p>
        </w:tc>
      </w:tr>
      <w:tr>
        <w:trPr>
          <w:trHeight w:val="370" w:hRule="auto"/>
          <w:jc w:val="left"/>
        </w:trPr>
        <w:tc>
          <w:tcPr>
            <w:tcW w:w="1276" w:type="dxa"/>
            <w:tcBorders>
              <w:top w:val="single" w:color="000000" w:sz="0"/>
              <w:left w:val="single" w:color="000000" w:sz="0"/>
              <w:bottom w:val="single" w:color="000000" w:sz="0"/>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Al</w:t>
            </w:r>
          </w:p>
        </w:tc>
        <w:tc>
          <w:tcPr>
            <w:tcW w:w="1418" w:type="dxa"/>
            <w:tcBorders>
              <w:top w:val="single" w:color="000000" w:sz="0"/>
              <w:left w:val="single" w:color="000000" w:sz="0"/>
              <w:bottom w:val="single" w:color="000000" w:sz="0"/>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0,169</w:t>
            </w:r>
          </w:p>
        </w:tc>
        <w:tc>
          <w:tcPr>
            <w:tcW w:w="1275" w:type="dxa"/>
            <w:tcBorders>
              <w:top w:val="single" w:color="000000" w:sz="0"/>
              <w:left w:val="single" w:color="000000" w:sz="0"/>
              <w:bottom w:val="single" w:color="000000" w:sz="0"/>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0,351</w:t>
            </w:r>
          </w:p>
        </w:tc>
        <w:tc>
          <w:tcPr>
            <w:tcW w:w="1276" w:type="dxa"/>
            <w:tcBorders>
              <w:top w:val="single" w:color="000000" w:sz="0"/>
              <w:left w:val="single" w:color="000000" w:sz="0"/>
              <w:bottom w:val="single" w:color="000000" w:sz="0"/>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1,171</w:t>
            </w:r>
          </w:p>
        </w:tc>
        <w:tc>
          <w:tcPr>
            <w:tcW w:w="2268" w:type="dxa"/>
            <w:tcBorders>
              <w:top w:val="single" w:color="000000" w:sz="0"/>
              <w:left w:val="single" w:color="000000" w:sz="0"/>
              <w:bottom w:val="single" w:color="000000" w:sz="0"/>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28,02x + 4,85</w:t>
            </w:r>
          </w:p>
        </w:tc>
        <w:tc>
          <w:tcPr>
            <w:tcW w:w="1276" w:type="dxa"/>
            <w:tcBorders>
              <w:top w:val="single" w:color="000000" w:sz="0"/>
              <w:left w:val="single" w:color="000000" w:sz="0"/>
              <w:bottom w:val="single" w:color="000000" w:sz="0"/>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0,9997</w:t>
            </w:r>
          </w:p>
        </w:tc>
      </w:tr>
      <w:tr>
        <w:trPr>
          <w:trHeight w:val="370" w:hRule="auto"/>
          <w:jc w:val="left"/>
        </w:trPr>
        <w:tc>
          <w:tcPr>
            <w:tcW w:w="1276"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Cr</w:t>
            </w:r>
          </w:p>
        </w:tc>
        <w:tc>
          <w:tcPr>
            <w:tcW w:w="1418"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-0,829</w:t>
            </w:r>
          </w:p>
        </w:tc>
        <w:tc>
          <w:tcPr>
            <w:tcW w:w="1275"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0,004</w:t>
            </w:r>
          </w:p>
        </w:tc>
        <w:tc>
          <w:tcPr>
            <w:tcW w:w="1276"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0,013</w:t>
            </w:r>
          </w:p>
        </w:tc>
        <w:tc>
          <w:tcPr>
            <w:tcW w:w="2268"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11501,31x - 9530,15</w:t>
            </w:r>
          </w:p>
        </w:tc>
        <w:tc>
          <w:tcPr>
            <w:tcW w:w="1276" w:type="dxa"/>
            <w:tcBorders>
              <w:top w:val="single" w:color="000000" w:sz="4"/>
              <w:left w:val="single" w:color="000000" w:sz="0"/>
              <w:bottom w:val="single" w:color="000000" w:sz="4"/>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0,9997</w:t>
            </w:r>
          </w:p>
        </w:tc>
      </w:tr>
      <w:tr>
        <w:trPr>
          <w:trHeight w:val="370" w:hRule="auto"/>
          <w:jc w:val="left"/>
        </w:trPr>
        <w:tc>
          <w:tcPr>
            <w:tcW w:w="1276" w:type="dxa"/>
            <w:tcBorders>
              <w:top w:val="single" w:color="000000" w:sz="0"/>
              <w:left w:val="single" w:color="000000" w:sz="0"/>
              <w:bottom w:val="single" w:color="000000" w:sz="0"/>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Mn</w:t>
            </w:r>
          </w:p>
        </w:tc>
        <w:tc>
          <w:tcPr>
            <w:tcW w:w="1418" w:type="dxa"/>
            <w:tcBorders>
              <w:top w:val="single" w:color="000000" w:sz="0"/>
              <w:left w:val="single" w:color="000000" w:sz="0"/>
              <w:bottom w:val="single" w:color="000000" w:sz="0"/>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-1,011</w:t>
            </w:r>
          </w:p>
        </w:tc>
        <w:tc>
          <w:tcPr>
            <w:tcW w:w="1275" w:type="dxa"/>
            <w:tcBorders>
              <w:top w:val="single" w:color="000000" w:sz="0"/>
              <w:left w:val="single" w:color="000000" w:sz="0"/>
              <w:bottom w:val="single" w:color="000000" w:sz="0"/>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0,006</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0,020</w:t>
            </w:r>
          </w:p>
        </w:tc>
        <w:tc>
          <w:tcPr>
            <w:tcW w:w="2268" w:type="dxa"/>
            <w:tcBorders>
              <w:top w:val="single" w:color="000000" w:sz="0"/>
              <w:left w:val="single" w:color="000000" w:sz="0"/>
              <w:bottom w:val="single" w:color="000000" w:sz="0"/>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2840,62x - 2871,03</w:t>
            </w:r>
          </w:p>
        </w:tc>
        <w:tc>
          <w:tcPr>
            <w:tcW w:w="1276" w:type="dxa"/>
            <w:tcBorders>
              <w:top w:val="single" w:color="000000" w:sz="0"/>
              <w:left w:val="single" w:color="000000" w:sz="0"/>
              <w:bottom w:val="single" w:color="000000" w:sz="0"/>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0,9997</w:t>
            </w:r>
          </w:p>
        </w:tc>
      </w:tr>
      <w:tr>
        <w:trPr>
          <w:trHeight w:val="370" w:hRule="auto"/>
          <w:jc w:val="left"/>
        </w:trPr>
        <w:tc>
          <w:tcPr>
            <w:tcW w:w="1276"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Fe</w:t>
            </w:r>
          </w:p>
        </w:tc>
        <w:tc>
          <w:tcPr>
            <w:tcW w:w="1418"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-1,415</w:t>
            </w:r>
          </w:p>
        </w:tc>
        <w:tc>
          <w:tcPr>
            <w:tcW w:w="1275"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0,110</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0,366</w:t>
            </w:r>
          </w:p>
        </w:tc>
        <w:tc>
          <w:tcPr>
            <w:tcW w:w="2268"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9226,16x - 13057,23</w:t>
            </w:r>
          </w:p>
        </w:tc>
        <w:tc>
          <w:tcPr>
            <w:tcW w:w="1276" w:type="dxa"/>
            <w:tcBorders>
              <w:top w:val="single" w:color="000000" w:sz="4"/>
              <w:left w:val="single" w:color="000000" w:sz="0"/>
              <w:bottom w:val="single" w:color="000000" w:sz="4"/>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0,9989</w:t>
            </w:r>
          </w:p>
        </w:tc>
      </w:tr>
      <w:tr>
        <w:trPr>
          <w:trHeight w:val="370" w:hRule="auto"/>
          <w:jc w:val="left"/>
        </w:trPr>
        <w:tc>
          <w:tcPr>
            <w:tcW w:w="1276" w:type="dxa"/>
            <w:tcBorders>
              <w:top w:val="single" w:color="000000" w:sz="0"/>
              <w:left w:val="single" w:color="000000" w:sz="0"/>
              <w:bottom w:val="single" w:color="000000" w:sz="0"/>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Ni</w:t>
            </w:r>
          </w:p>
        </w:tc>
        <w:tc>
          <w:tcPr>
            <w:tcW w:w="1418" w:type="dxa"/>
            <w:tcBorders>
              <w:top w:val="single" w:color="000000" w:sz="0"/>
              <w:left w:val="single" w:color="000000" w:sz="0"/>
              <w:bottom w:val="single" w:color="000000" w:sz="0"/>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-1,022</w:t>
            </w:r>
          </w:p>
        </w:tc>
        <w:tc>
          <w:tcPr>
            <w:tcW w:w="1275" w:type="dxa"/>
            <w:tcBorders>
              <w:top w:val="single" w:color="000000" w:sz="0"/>
              <w:left w:val="single" w:color="000000" w:sz="0"/>
              <w:bottom w:val="single" w:color="000000" w:sz="0"/>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0,003</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0,010</w:t>
            </w:r>
          </w:p>
        </w:tc>
        <w:tc>
          <w:tcPr>
            <w:tcW w:w="2268" w:type="dxa"/>
            <w:tcBorders>
              <w:top w:val="single" w:color="000000" w:sz="0"/>
              <w:left w:val="single" w:color="000000" w:sz="0"/>
              <w:bottom w:val="single" w:color="000000" w:sz="0"/>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9162,99x - 9368,78</w:t>
            </w:r>
          </w:p>
        </w:tc>
        <w:tc>
          <w:tcPr>
            <w:tcW w:w="1276" w:type="dxa"/>
            <w:tcBorders>
              <w:top w:val="single" w:color="000000" w:sz="0"/>
              <w:left w:val="single" w:color="000000" w:sz="0"/>
              <w:bottom w:val="single" w:color="000000" w:sz="0"/>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0,9997</w:t>
            </w:r>
          </w:p>
        </w:tc>
      </w:tr>
      <w:tr>
        <w:trPr>
          <w:trHeight w:val="370" w:hRule="auto"/>
          <w:jc w:val="left"/>
        </w:trPr>
        <w:tc>
          <w:tcPr>
            <w:tcW w:w="1276"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Cu</w:t>
            </w:r>
          </w:p>
        </w:tc>
        <w:tc>
          <w:tcPr>
            <w:tcW w:w="1418"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-3,835</w:t>
            </w:r>
          </w:p>
        </w:tc>
        <w:tc>
          <w:tcPr>
            <w:tcW w:w="1275"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0,002</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0,005</w:t>
            </w:r>
          </w:p>
        </w:tc>
        <w:tc>
          <w:tcPr>
            <w:tcW w:w="2268"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32776,52x - 125707,07</w:t>
            </w:r>
          </w:p>
        </w:tc>
        <w:tc>
          <w:tcPr>
            <w:tcW w:w="1276" w:type="dxa"/>
            <w:tcBorders>
              <w:top w:val="single" w:color="000000" w:sz="4"/>
              <w:left w:val="single" w:color="000000" w:sz="0"/>
              <w:bottom w:val="single" w:color="000000" w:sz="4"/>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0,9952</w:t>
            </w:r>
          </w:p>
        </w:tc>
      </w:tr>
      <w:tr>
        <w:trPr>
          <w:trHeight w:val="370" w:hRule="auto"/>
          <w:jc w:val="left"/>
        </w:trPr>
        <w:tc>
          <w:tcPr>
            <w:tcW w:w="1276" w:type="dxa"/>
            <w:tcBorders>
              <w:top w:val="single" w:color="000000" w:sz="0"/>
              <w:left w:val="single" w:color="000000" w:sz="0"/>
              <w:bottom w:val="single" w:color="000000" w:sz="0"/>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Zn</w:t>
            </w:r>
          </w:p>
        </w:tc>
        <w:tc>
          <w:tcPr>
            <w:tcW w:w="1418" w:type="dxa"/>
            <w:tcBorders>
              <w:top w:val="single" w:color="000000" w:sz="0"/>
              <w:left w:val="single" w:color="000000" w:sz="0"/>
              <w:bottom w:val="single" w:color="000000" w:sz="0"/>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-3,093</w:t>
            </w:r>
          </w:p>
        </w:tc>
        <w:tc>
          <w:tcPr>
            <w:tcW w:w="1275" w:type="dxa"/>
            <w:tcBorders>
              <w:top w:val="single" w:color="000000" w:sz="0"/>
              <w:left w:val="single" w:color="000000" w:sz="0"/>
              <w:bottom w:val="single" w:color="000000" w:sz="0"/>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0,066</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0,219</w:t>
            </w:r>
          </w:p>
        </w:tc>
        <w:tc>
          <w:tcPr>
            <w:tcW w:w="2268" w:type="dxa"/>
            <w:tcBorders>
              <w:top w:val="single" w:color="000000" w:sz="0"/>
              <w:left w:val="single" w:color="000000" w:sz="0"/>
              <w:bottom w:val="single" w:color="000000" w:sz="0"/>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2246,98x - 694,67</w:t>
            </w:r>
          </w:p>
        </w:tc>
        <w:tc>
          <w:tcPr>
            <w:tcW w:w="1276" w:type="dxa"/>
            <w:tcBorders>
              <w:top w:val="single" w:color="000000" w:sz="0"/>
              <w:left w:val="single" w:color="000000" w:sz="0"/>
              <w:bottom w:val="single" w:color="000000" w:sz="0"/>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0,9951</w:t>
            </w:r>
          </w:p>
        </w:tc>
      </w:tr>
      <w:tr>
        <w:trPr>
          <w:trHeight w:val="370" w:hRule="auto"/>
          <w:jc w:val="left"/>
        </w:trPr>
        <w:tc>
          <w:tcPr>
            <w:tcW w:w="1276"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As</w:t>
            </w:r>
          </w:p>
        </w:tc>
        <w:tc>
          <w:tcPr>
            <w:tcW w:w="1418"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-2,999</w:t>
            </w:r>
          </w:p>
        </w:tc>
        <w:tc>
          <w:tcPr>
            <w:tcW w:w="1275"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0,003</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0,010</w:t>
            </w:r>
          </w:p>
        </w:tc>
        <w:tc>
          <w:tcPr>
            <w:tcW w:w="2268"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850,95x - 2551,79 </w:t>
            </w:r>
          </w:p>
        </w:tc>
        <w:tc>
          <w:tcPr>
            <w:tcW w:w="1276" w:type="dxa"/>
            <w:tcBorders>
              <w:top w:val="single" w:color="000000" w:sz="4"/>
              <w:left w:val="single" w:color="000000" w:sz="0"/>
              <w:bottom w:val="single" w:color="000000" w:sz="4"/>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0,997</w:t>
            </w:r>
          </w:p>
        </w:tc>
      </w:tr>
      <w:tr>
        <w:trPr>
          <w:trHeight w:val="370" w:hRule="auto"/>
          <w:jc w:val="left"/>
        </w:trPr>
        <w:tc>
          <w:tcPr>
            <w:tcW w:w="1276" w:type="dxa"/>
            <w:tcBorders>
              <w:top w:val="single" w:color="000000" w:sz="0"/>
              <w:left w:val="single" w:color="000000" w:sz="0"/>
              <w:bottom w:val="single" w:color="000000" w:sz="0"/>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Se</w:t>
            </w:r>
          </w:p>
        </w:tc>
        <w:tc>
          <w:tcPr>
            <w:tcW w:w="1418" w:type="dxa"/>
            <w:tcBorders>
              <w:top w:val="single" w:color="000000" w:sz="0"/>
              <w:left w:val="single" w:color="000000" w:sz="0"/>
              <w:bottom w:val="single" w:color="000000" w:sz="0"/>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-4,403</w:t>
            </w:r>
          </w:p>
        </w:tc>
        <w:tc>
          <w:tcPr>
            <w:tcW w:w="1275" w:type="dxa"/>
            <w:tcBorders>
              <w:top w:val="single" w:color="000000" w:sz="0"/>
              <w:left w:val="single" w:color="000000" w:sz="0"/>
              <w:bottom w:val="single" w:color="000000" w:sz="0"/>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0,000</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0,001</w:t>
            </w:r>
          </w:p>
        </w:tc>
        <w:tc>
          <w:tcPr>
            <w:tcW w:w="2268" w:type="dxa"/>
            <w:tcBorders>
              <w:top w:val="single" w:color="000000" w:sz="0"/>
              <w:left w:val="single" w:color="000000" w:sz="0"/>
              <w:bottom w:val="single" w:color="000000" w:sz="0"/>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8,37x - 36,88</w:t>
            </w:r>
          </w:p>
        </w:tc>
        <w:tc>
          <w:tcPr>
            <w:tcW w:w="1276" w:type="dxa"/>
            <w:tcBorders>
              <w:top w:val="single" w:color="000000" w:sz="0"/>
              <w:left w:val="single" w:color="000000" w:sz="0"/>
              <w:bottom w:val="single" w:color="000000" w:sz="0"/>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0,9936</w:t>
            </w:r>
          </w:p>
        </w:tc>
      </w:tr>
      <w:tr>
        <w:trPr>
          <w:trHeight w:val="370" w:hRule="auto"/>
          <w:jc w:val="left"/>
        </w:trPr>
        <w:tc>
          <w:tcPr>
            <w:tcW w:w="1276"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Cd</w:t>
            </w:r>
          </w:p>
        </w:tc>
        <w:tc>
          <w:tcPr>
            <w:tcW w:w="1418"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-2,280</w:t>
            </w:r>
          </w:p>
        </w:tc>
        <w:tc>
          <w:tcPr>
            <w:tcW w:w="1275"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0,001</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0,004</w:t>
            </w:r>
          </w:p>
        </w:tc>
        <w:tc>
          <w:tcPr>
            <w:tcW w:w="2268"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5178,61x - 11804,98</w:t>
            </w:r>
          </w:p>
        </w:tc>
        <w:tc>
          <w:tcPr>
            <w:tcW w:w="1276" w:type="dxa"/>
            <w:tcBorders>
              <w:top w:val="single" w:color="000000" w:sz="4"/>
              <w:left w:val="single" w:color="000000" w:sz="0"/>
              <w:bottom w:val="single" w:color="000000" w:sz="4"/>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0,9983</w:t>
            </w:r>
          </w:p>
        </w:tc>
      </w:tr>
      <w:tr>
        <w:trPr>
          <w:trHeight w:val="370" w:hRule="auto"/>
          <w:jc w:val="left"/>
        </w:trPr>
        <w:tc>
          <w:tcPr>
            <w:tcW w:w="1276" w:type="dxa"/>
            <w:tcBorders>
              <w:top w:val="single" w:color="000000" w:sz="0"/>
              <w:left w:val="single" w:color="000000" w:sz="0"/>
              <w:bottom w:val="single" w:color="000000" w:sz="0"/>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Pb</w:t>
            </w:r>
          </w:p>
        </w:tc>
        <w:tc>
          <w:tcPr>
            <w:tcW w:w="1418" w:type="dxa"/>
            <w:tcBorders>
              <w:top w:val="single" w:color="000000" w:sz="0"/>
              <w:left w:val="single" w:color="000000" w:sz="0"/>
              <w:bottom w:val="single" w:color="000000" w:sz="0"/>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-2,067</w:t>
            </w:r>
          </w:p>
        </w:tc>
        <w:tc>
          <w:tcPr>
            <w:tcW w:w="1275" w:type="dxa"/>
            <w:tcBorders>
              <w:top w:val="single" w:color="000000" w:sz="0"/>
              <w:left w:val="single" w:color="000000" w:sz="0"/>
              <w:bottom w:val="single" w:color="000000" w:sz="0"/>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0,001</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0,002</w:t>
            </w:r>
          </w:p>
        </w:tc>
        <w:tc>
          <w:tcPr>
            <w:tcW w:w="2268" w:type="dxa"/>
            <w:tcBorders>
              <w:top w:val="single" w:color="000000" w:sz="0"/>
              <w:left w:val="single" w:color="000000" w:sz="0"/>
              <w:bottom w:val="single" w:color="000000" w:sz="0"/>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78460,31x - 162161,42</w:t>
            </w:r>
          </w:p>
        </w:tc>
        <w:tc>
          <w:tcPr>
            <w:tcW w:w="1276" w:type="dxa"/>
            <w:tcBorders>
              <w:top w:val="single" w:color="000000" w:sz="0"/>
              <w:left w:val="single" w:color="000000" w:sz="0"/>
              <w:bottom w:val="single" w:color="000000" w:sz="0"/>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0,9993</w:t>
            </w:r>
          </w:p>
        </w:tc>
      </w:tr>
      <w:tr>
        <w:trPr>
          <w:trHeight w:val="370" w:hRule="auto"/>
          <w:jc w:val="left"/>
        </w:trPr>
        <w:tc>
          <w:tcPr>
            <w:tcW w:w="1276"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Ba</w:t>
            </w:r>
          </w:p>
        </w:tc>
        <w:tc>
          <w:tcPr>
            <w:tcW w:w="1418"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-0,831</w:t>
            </w:r>
          </w:p>
        </w:tc>
        <w:tc>
          <w:tcPr>
            <w:tcW w:w="1275"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0,007</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0,022</w:t>
            </w:r>
          </w:p>
        </w:tc>
        <w:tc>
          <w:tcPr>
            <w:tcW w:w="2268"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2138,35x - 1777,51</w:t>
            </w:r>
          </w:p>
        </w:tc>
        <w:tc>
          <w:tcPr>
            <w:tcW w:w="1276" w:type="dxa"/>
            <w:tcBorders>
              <w:top w:val="single" w:color="000000" w:sz="4"/>
              <w:left w:val="single" w:color="000000" w:sz="0"/>
              <w:bottom w:val="single" w:color="000000" w:sz="4"/>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0,9998</w:t>
            </w:r>
          </w:p>
        </w:tc>
      </w:tr>
      <w:tr>
        <w:trPr>
          <w:trHeight w:val="370" w:hRule="auto"/>
          <w:jc w:val="left"/>
        </w:trPr>
        <w:tc>
          <w:tcPr>
            <w:tcW w:w="1276" w:type="dxa"/>
            <w:tcBorders>
              <w:top w:val="single" w:color="000000" w:sz="0"/>
              <w:left w:val="single" w:color="000000" w:sz="0"/>
              <w:bottom w:val="single" w:color="000000" w:sz="8"/>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U</w:t>
            </w:r>
          </w:p>
        </w:tc>
        <w:tc>
          <w:tcPr>
            <w:tcW w:w="1418" w:type="dxa"/>
            <w:tcBorders>
              <w:top w:val="single" w:color="000000" w:sz="0"/>
              <w:left w:val="single" w:color="000000" w:sz="0"/>
              <w:bottom w:val="single" w:color="000000" w:sz="8"/>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-0,730</w:t>
            </w:r>
          </w:p>
        </w:tc>
        <w:tc>
          <w:tcPr>
            <w:tcW w:w="1275" w:type="dxa"/>
            <w:tcBorders>
              <w:top w:val="single" w:color="000000" w:sz="0"/>
              <w:left w:val="single" w:color="000000" w:sz="0"/>
              <w:bottom w:val="single" w:color="000000" w:sz="8"/>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0,000</w:t>
            </w:r>
          </w:p>
        </w:tc>
        <w:tc>
          <w:tcPr>
            <w:tcW w:w="1276" w:type="dxa"/>
            <w:tcBorders>
              <w:top w:val="single" w:color="000000" w:sz="0"/>
              <w:left w:val="single" w:color="000000" w:sz="0"/>
              <w:bottom w:val="single" w:color="000000" w:sz="8"/>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0,001</w:t>
            </w:r>
          </w:p>
        </w:tc>
        <w:tc>
          <w:tcPr>
            <w:tcW w:w="2268" w:type="dxa"/>
            <w:tcBorders>
              <w:top w:val="single" w:color="000000" w:sz="0"/>
              <w:left w:val="single" w:color="000000" w:sz="0"/>
              <w:bottom w:val="single" w:color="000000" w:sz="8"/>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436810,74x - 318689,68</w:t>
            </w:r>
          </w:p>
        </w:tc>
        <w:tc>
          <w:tcPr>
            <w:tcW w:w="1276" w:type="dxa"/>
            <w:tcBorders>
              <w:top w:val="single" w:color="000000" w:sz="0"/>
              <w:left w:val="single" w:color="000000" w:sz="0"/>
              <w:bottom w:val="single" w:color="000000" w:sz="8"/>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0,9998</w:t>
            </w:r>
          </w:p>
        </w:tc>
      </w:tr>
      <w:tr>
        <w:trPr>
          <w:trHeight w:val="650" w:hRule="auto"/>
          <w:jc w:val="left"/>
        </w:trPr>
        <w:tc>
          <w:tcPr>
            <w:tcW w:w="8789" w:type="dxa"/>
            <w:gridSpan w:val="6"/>
            <w:tcBorders>
              <w:top w:val="single" w:color="000000" w:sz="8"/>
              <w:left w:val="single" w:color="000000" w:sz="0"/>
              <w:bottom w:val="single" w:color="000000" w:sz="0"/>
              <w:right w:val="single" w:color="000000" w:sz="0"/>
            </w:tcBorders>
            <w:shd w:color="auto" w:fill="auto" w:val="clear"/>
            <w:tcMar>
              <w:left w:w="70" w:type="dxa"/>
              <w:right w:w="70" w:type="dxa"/>
            </w:tcMar>
            <w:vAlign w:val="center"/>
          </w:tcPr>
          <w:p>
            <w:pPr>
              <w:spacing w:before="0" w:after="0" w:line="276"/>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vertAlign w:val="superscript"/>
              </w:rPr>
              <w:t xml:space="preserve">a</w:t>
            </w:r>
            <w:r>
              <w:rPr>
                <w:rFonts w:ascii="Times New Roman" w:hAnsi="Times New Roman" w:cs="Times New Roman" w:eastAsia="Times New Roman"/>
                <w:color w:val="000000"/>
                <w:spacing w:val="0"/>
                <w:position w:val="0"/>
                <w:sz w:val="20"/>
                <w:shd w:fill="auto" w:val="clear"/>
              </w:rPr>
              <w:t xml:space="preserve"> Concentração equivalente ao sinal de fundo (BEC, do inglês </w:t>
            </w:r>
            <w:r>
              <w:rPr>
                <w:rFonts w:ascii="Times New Roman" w:hAnsi="Times New Roman" w:cs="Times New Roman" w:eastAsia="Times New Roman"/>
                <w:i/>
                <w:color w:val="000000"/>
                <w:spacing w:val="0"/>
                <w:position w:val="0"/>
                <w:sz w:val="20"/>
                <w:shd w:fill="auto" w:val="clear"/>
              </w:rPr>
              <w:t xml:space="preserve">Background Equivalente Concentration</w:t>
            </w:r>
            <w:r>
              <w:rPr>
                <w:rFonts w:ascii="Times New Roman" w:hAnsi="Times New Roman" w:cs="Times New Roman" w:eastAsia="Times New Roman"/>
                <w:color w:val="000000"/>
                <w:spacing w:val="0"/>
                <w:position w:val="0"/>
                <w:sz w:val="20"/>
                <w:shd w:fill="auto" w:val="clear"/>
              </w:rPr>
              <w:t xml:space="preserve">); </w:t>
            </w:r>
            <w:r>
              <w:rPr>
                <w:rFonts w:ascii="Times New Roman" w:hAnsi="Times New Roman" w:cs="Times New Roman" w:eastAsia="Times New Roman"/>
                <w:color w:val="000000"/>
                <w:spacing w:val="0"/>
                <w:position w:val="0"/>
                <w:sz w:val="20"/>
                <w:shd w:fill="auto" w:val="clear"/>
                <w:vertAlign w:val="superscript"/>
              </w:rPr>
              <w:t xml:space="preserve">b </w:t>
            </w:r>
            <w:r>
              <w:rPr>
                <w:rFonts w:ascii="Times New Roman" w:hAnsi="Times New Roman" w:cs="Times New Roman" w:eastAsia="Times New Roman"/>
                <w:color w:val="000000"/>
                <w:spacing w:val="0"/>
                <w:position w:val="0"/>
                <w:sz w:val="20"/>
                <w:shd w:fill="auto" w:val="clear"/>
              </w:rPr>
              <w:t xml:space="preserve">Limite de Detecção; </w:t>
            </w:r>
            <w:r>
              <w:rPr>
                <w:rFonts w:ascii="Times New Roman" w:hAnsi="Times New Roman" w:cs="Times New Roman" w:eastAsia="Times New Roman"/>
                <w:color w:val="000000"/>
                <w:spacing w:val="0"/>
                <w:position w:val="0"/>
                <w:sz w:val="20"/>
                <w:shd w:fill="auto" w:val="clear"/>
                <w:vertAlign w:val="superscript"/>
              </w:rPr>
              <w:t xml:space="preserve">c</w:t>
            </w:r>
            <w:r>
              <w:rPr>
                <w:rFonts w:ascii="Times New Roman" w:hAnsi="Times New Roman" w:cs="Times New Roman" w:eastAsia="Times New Roman"/>
                <w:color w:val="000000"/>
                <w:spacing w:val="0"/>
                <w:position w:val="0"/>
                <w:sz w:val="20"/>
                <w:shd w:fill="auto" w:val="clear"/>
              </w:rPr>
              <w:t xml:space="preserve"> Limite de Quantificação; </w:t>
            </w:r>
            <w:r>
              <w:rPr>
                <w:rFonts w:ascii="Times New Roman" w:hAnsi="Times New Roman" w:cs="Times New Roman" w:eastAsia="Times New Roman"/>
                <w:color w:val="000000"/>
                <w:spacing w:val="0"/>
                <w:position w:val="0"/>
                <w:sz w:val="20"/>
                <w:shd w:fill="auto" w:val="clear"/>
                <w:vertAlign w:val="superscript"/>
              </w:rPr>
              <w:t xml:space="preserve">d</w:t>
            </w:r>
            <w:r>
              <w:rPr>
                <w:rFonts w:ascii="Times New Roman" w:hAnsi="Times New Roman" w:cs="Times New Roman" w:eastAsia="Times New Roman"/>
                <w:color w:val="000000"/>
                <w:spacing w:val="0"/>
                <w:position w:val="0"/>
                <w:sz w:val="20"/>
                <w:shd w:fill="auto" w:val="clear"/>
              </w:rPr>
              <w:t xml:space="preserve"> coeficiente de correlação.</w:t>
            </w:r>
          </w:p>
        </w:tc>
      </w:tr>
    </w:tbl>
    <w:p>
      <w:pPr>
        <w:keepNext w:val="true"/>
        <w:spacing w:before="0" w:after="0" w:line="360"/>
        <w:ind w:right="0" w:left="0" w:firstLine="0"/>
        <w:jc w:val="both"/>
        <w:rPr>
          <w:rFonts w:ascii="Times New Roman" w:hAnsi="Times New Roman" w:cs="Times New Roman" w:eastAsia="Times New Roman"/>
          <w:b/>
          <w:color w:val="4472C4"/>
          <w:spacing w:val="0"/>
          <w:position w:val="0"/>
          <w:sz w:val="18"/>
          <w:shd w:fill="FFFFFF" w:val="clear"/>
        </w:rPr>
      </w:pPr>
      <w:r>
        <w:rPr>
          <w:rFonts w:ascii="Times New Roman" w:hAnsi="Times New Roman" w:cs="Times New Roman" w:eastAsia="Times New Roman"/>
          <w:b/>
          <w:color w:val="4472C4"/>
          <w:spacing w:val="0"/>
          <w:position w:val="0"/>
          <w:sz w:val="18"/>
          <w:shd w:fill="FFFFFF"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Após verificar a conformidade do método foram determinadas as concentrações dos metais no sedimento. A Tabela 5 apresenta os resultados obtidos na determinação da concentração dos metais no sedimento nos diferentes pontos da Baía de Sepetiba.</w:t>
      </w:r>
    </w:p>
    <w:p>
      <w:pPr>
        <w:spacing w:before="0" w:after="0" w:line="36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Não existe uma legislação específica para a avaliação da qualidade de sedimentos no Brasil, sendo usados os valores orientadores para a qualidade do sedimento oriundos da Resolução CONAMA nº 454/2012 (BRASIL, 2012) para sedimentos dragados (dragagem de sedimentos), cujos valores baseiam-se nos índices internacionais em relação às concentrações das substâncias químicas que garantem a qualidade da vida aquática. Esses critérios são referenciados como o nível de efeito limiar (valor TEL - Threshold Effect Level, valor abaixo do qual efeitos adversos raramente são esperados) e nível de efeito provável (valor PEL - Probable Effect Level, valor acima do qual efeitos adversos na biota são esperados) (SMITH et al., 1996).</w:t>
      </w:r>
    </w:p>
    <w:p>
      <w:pPr>
        <w:spacing w:before="0" w:after="0" w:line="360"/>
        <w:ind w:right="0" w:left="0" w:firstLine="709"/>
        <w:jc w:val="both"/>
        <w:rPr>
          <w:rFonts w:ascii="Times New Roman" w:hAnsi="Times New Roman" w:cs="Times New Roman" w:eastAsia="Times New Roman"/>
          <w:color w:val="auto"/>
          <w:spacing w:val="0"/>
          <w:position w:val="0"/>
          <w:sz w:val="24"/>
          <w:shd w:fill="FFFFFF"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4"/>
          <w:shd w:fill="FFFFFF" w:val="clear"/>
        </w:rPr>
      </w:pPr>
    </w:p>
    <w:tbl>
      <w:tblPr>
        <w:tblInd w:w="567" w:type="dxa"/>
      </w:tblPr>
      <w:tblGrid>
        <w:gridCol w:w="1240"/>
        <w:gridCol w:w="1600"/>
        <w:gridCol w:w="1696"/>
        <w:gridCol w:w="1797"/>
        <w:gridCol w:w="1701"/>
        <w:gridCol w:w="1705"/>
        <w:gridCol w:w="1056"/>
        <w:gridCol w:w="1324"/>
        <w:gridCol w:w="1349"/>
      </w:tblGrid>
      <w:tr>
        <w:trPr>
          <w:trHeight w:val="730" w:hRule="auto"/>
          <w:jc w:val="left"/>
        </w:trPr>
        <w:tc>
          <w:tcPr>
            <w:tcW w:w="13468" w:type="dxa"/>
            <w:gridSpan w:val="9"/>
            <w:tcBorders>
              <w:top w:val="single" w:color="000000" w:sz="0"/>
              <w:left w:val="single" w:color="000000" w:sz="0"/>
              <w:bottom w:val="single" w:color="000000" w:sz="8"/>
              <w:right w:val="single" w:color="000000" w:sz="0"/>
            </w:tcBorders>
            <w:shd w:color="auto" w:fill="auto" w:val="clear"/>
            <w:tcMar>
              <w:left w:w="70" w:type="dxa"/>
              <w:right w:w="70"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4"/>
                <w:shd w:fill="auto" w:val="clear"/>
              </w:rPr>
              <w:t xml:space="preserve">Tabela 5 -</w:t>
            </w:r>
            <w:r>
              <w:rPr>
                <w:rFonts w:ascii="Times New Roman" w:hAnsi="Times New Roman" w:cs="Times New Roman" w:eastAsia="Times New Roman"/>
                <w:color w:val="000000"/>
                <w:spacing w:val="0"/>
                <w:position w:val="0"/>
                <w:sz w:val="24"/>
                <w:shd w:fill="auto" w:val="clear"/>
              </w:rPr>
              <w:t xml:space="preserve"> Concentrações dos metais (µg/g) encontradas em cada ponto da Baía de Sepetiba* e valores de referência (µg/g) segundo Resolução CONAMA 454/2012</w:t>
            </w:r>
            <w:r>
              <w:rPr>
                <w:rFonts w:ascii="Times New Roman" w:hAnsi="Times New Roman" w:cs="Times New Roman" w:eastAsia="Times New Roman"/>
                <w:color w:val="000000"/>
                <w:spacing w:val="0"/>
                <w:position w:val="0"/>
                <w:sz w:val="24"/>
                <w:shd w:fill="auto" w:val="clear"/>
                <w:vertAlign w:val="superscript"/>
              </w:rPr>
              <w:t xml:space="preserve">†</w:t>
            </w:r>
            <w:r>
              <w:rPr>
                <w:rFonts w:ascii="Times New Roman" w:hAnsi="Times New Roman" w:cs="Times New Roman" w:eastAsia="Times New Roman"/>
                <w:color w:val="000000"/>
                <w:spacing w:val="0"/>
                <w:position w:val="0"/>
                <w:sz w:val="24"/>
                <w:shd w:fill="auto" w:val="clear"/>
              </w:rPr>
              <w:t xml:space="preserve">.</w:t>
            </w:r>
          </w:p>
        </w:tc>
      </w:tr>
      <w:tr>
        <w:trPr>
          <w:trHeight w:val="440" w:hRule="auto"/>
          <w:jc w:val="left"/>
        </w:trPr>
        <w:tc>
          <w:tcPr>
            <w:tcW w:w="1240" w:type="dxa"/>
            <w:tcBorders>
              <w:top w:val="single" w:color="ffffff" w:sz="4"/>
              <w:left w:val="single" w:color="000000" w:sz="0"/>
              <w:bottom w:val="single" w:color="000000" w:sz="8"/>
              <w:right w:val="single" w:color="000000" w:sz="4"/>
            </w:tcBorders>
            <w:shd w:color="000000" w:fill="538dd5"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METAL</w:t>
            </w:r>
          </w:p>
        </w:tc>
        <w:tc>
          <w:tcPr>
            <w:tcW w:w="1600" w:type="dxa"/>
            <w:tcBorders>
              <w:top w:val="single" w:color="ffffff" w:sz="4"/>
              <w:left w:val="single" w:color="000000" w:sz="0"/>
              <w:bottom w:val="single" w:color="000000" w:sz="8"/>
              <w:right w:val="single" w:color="000000" w:sz="4"/>
            </w:tcBorders>
            <w:shd w:color="000000" w:fill="538dd5"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PC</w:t>
            </w:r>
          </w:p>
        </w:tc>
        <w:tc>
          <w:tcPr>
            <w:tcW w:w="1696" w:type="dxa"/>
            <w:tcBorders>
              <w:top w:val="single" w:color="ffffff" w:sz="4"/>
              <w:left w:val="single" w:color="000000" w:sz="0"/>
              <w:bottom w:val="single" w:color="000000" w:sz="8"/>
              <w:right w:val="single" w:color="000000" w:sz="4"/>
            </w:tcBorders>
            <w:shd w:color="000000" w:fill="538dd5"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P1</w:t>
            </w:r>
          </w:p>
        </w:tc>
        <w:tc>
          <w:tcPr>
            <w:tcW w:w="1797" w:type="dxa"/>
            <w:tcBorders>
              <w:top w:val="single" w:color="ffffff" w:sz="4"/>
              <w:left w:val="single" w:color="000000" w:sz="0"/>
              <w:bottom w:val="single" w:color="000000" w:sz="8"/>
              <w:right w:val="single" w:color="000000" w:sz="4"/>
            </w:tcBorders>
            <w:shd w:color="000000" w:fill="538dd5"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P3</w:t>
            </w:r>
          </w:p>
        </w:tc>
        <w:tc>
          <w:tcPr>
            <w:tcW w:w="1701" w:type="dxa"/>
            <w:tcBorders>
              <w:top w:val="single" w:color="ffffff" w:sz="4"/>
              <w:left w:val="single" w:color="000000" w:sz="0"/>
              <w:bottom w:val="single" w:color="000000" w:sz="8"/>
              <w:right w:val="single" w:color="000000" w:sz="4"/>
            </w:tcBorders>
            <w:shd w:color="000000" w:fill="538dd5"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P4</w:t>
            </w:r>
          </w:p>
        </w:tc>
        <w:tc>
          <w:tcPr>
            <w:tcW w:w="1705" w:type="dxa"/>
            <w:tcBorders>
              <w:top w:val="single" w:color="ffffff" w:sz="4"/>
              <w:left w:val="single" w:color="000000" w:sz="0"/>
              <w:bottom w:val="single" w:color="000000" w:sz="8"/>
              <w:right w:val="single" w:color="000000" w:sz="0"/>
            </w:tcBorders>
            <w:shd w:color="000000" w:fill="538dd5"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P5</w:t>
            </w:r>
          </w:p>
        </w:tc>
        <w:tc>
          <w:tcPr>
            <w:tcW w:w="1056" w:type="dxa"/>
            <w:tcBorders>
              <w:top w:val="single" w:color="ffffff" w:sz="4"/>
              <w:left w:val="single" w:color="000000" w:sz="0"/>
              <w:bottom w:val="single" w:color="000000" w:sz="8"/>
              <w:right w:val="single" w:color="000000" w:sz="4"/>
            </w:tcBorders>
            <w:shd w:color="000000" w:fill="538dd5"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Nível 1</w:t>
            </w:r>
            <w:r>
              <w:rPr>
                <w:rFonts w:ascii="Times New Roman" w:hAnsi="Times New Roman" w:cs="Times New Roman" w:eastAsia="Times New Roman"/>
                <w:color w:val="000000"/>
                <w:spacing w:val="0"/>
                <w:position w:val="0"/>
                <w:sz w:val="24"/>
                <w:shd w:fill="auto" w:val="clear"/>
                <w:vertAlign w:val="superscript"/>
              </w:rPr>
              <w:t xml:space="preserve">†</w:t>
            </w:r>
          </w:p>
        </w:tc>
        <w:tc>
          <w:tcPr>
            <w:tcW w:w="1324" w:type="dxa"/>
            <w:tcBorders>
              <w:top w:val="single" w:color="000000" w:sz="0"/>
              <w:left w:val="single" w:color="000000" w:sz="0"/>
              <w:bottom w:val="single" w:color="000000" w:sz="8"/>
              <w:right w:val="single" w:color="000000" w:sz="0"/>
            </w:tcBorders>
            <w:shd w:color="000000" w:fill="538dd5"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Nivel 2</w:t>
            </w:r>
            <w:r>
              <w:rPr>
                <w:rFonts w:ascii="Times New Roman" w:hAnsi="Times New Roman" w:cs="Times New Roman" w:eastAsia="Times New Roman"/>
                <w:color w:val="000000"/>
                <w:spacing w:val="0"/>
                <w:position w:val="0"/>
                <w:sz w:val="24"/>
                <w:shd w:fill="auto" w:val="clear"/>
                <w:vertAlign w:val="superscript"/>
              </w:rPr>
              <w:t xml:space="preserve">†</w:t>
            </w:r>
          </w:p>
        </w:tc>
      </w:tr>
      <w:tr>
        <w:trPr>
          <w:trHeight w:val="440" w:hRule="auto"/>
          <w:jc w:val="left"/>
        </w:trPr>
        <w:tc>
          <w:tcPr>
            <w:tcW w:w="1240"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Cr</w:t>
            </w:r>
          </w:p>
        </w:tc>
        <w:tc>
          <w:tcPr>
            <w:tcW w:w="1600"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11,4 ± 0,6</w:t>
            </w:r>
          </w:p>
        </w:tc>
        <w:tc>
          <w:tcPr>
            <w:tcW w:w="1696"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41,9 ± 0,5</w:t>
            </w:r>
          </w:p>
        </w:tc>
        <w:tc>
          <w:tcPr>
            <w:tcW w:w="1797"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40,7 ± 1,3</w:t>
            </w:r>
          </w:p>
        </w:tc>
        <w:tc>
          <w:tcPr>
            <w:tcW w:w="1701"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5,3 ± 0,2</w:t>
            </w:r>
          </w:p>
        </w:tc>
        <w:tc>
          <w:tcPr>
            <w:tcW w:w="1705" w:type="dxa"/>
            <w:tcBorders>
              <w:top w:val="single" w:color="000000" w:sz="0"/>
              <w:left w:val="single" w:color="000000" w:sz="0"/>
              <w:bottom w:val="single" w:color="000000" w:sz="4"/>
              <w:right w:val="single" w:color="000000" w:sz="0"/>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2,9 ± 0,2</w:t>
            </w:r>
          </w:p>
        </w:tc>
        <w:tc>
          <w:tcPr>
            <w:tcW w:w="1056"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81,0</w:t>
            </w:r>
          </w:p>
        </w:tc>
        <w:tc>
          <w:tcPr>
            <w:tcW w:w="1324" w:type="dxa"/>
            <w:tcBorders>
              <w:top w:val="single" w:color="000000" w:sz="0"/>
              <w:left w:val="single" w:color="000000" w:sz="0"/>
              <w:bottom w:val="single" w:color="000000" w:sz="4"/>
              <w:right w:val="single" w:color="000000" w:sz="0"/>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370,0</w:t>
            </w:r>
          </w:p>
        </w:tc>
      </w:tr>
      <w:tr>
        <w:trPr>
          <w:trHeight w:val="440" w:hRule="auto"/>
          <w:jc w:val="left"/>
        </w:trPr>
        <w:tc>
          <w:tcPr>
            <w:tcW w:w="1240"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Ni</w:t>
            </w:r>
          </w:p>
        </w:tc>
        <w:tc>
          <w:tcPr>
            <w:tcW w:w="1600"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4,3 ± 0,2</w:t>
            </w:r>
          </w:p>
        </w:tc>
        <w:tc>
          <w:tcPr>
            <w:tcW w:w="1696"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13,2 ± 0,1</w:t>
            </w:r>
          </w:p>
        </w:tc>
        <w:tc>
          <w:tcPr>
            <w:tcW w:w="1797"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13,4 ± 0,02</w:t>
            </w:r>
          </w:p>
        </w:tc>
        <w:tc>
          <w:tcPr>
            <w:tcW w:w="1701"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1,9 ± 0,1</w:t>
            </w:r>
          </w:p>
        </w:tc>
        <w:tc>
          <w:tcPr>
            <w:tcW w:w="1705" w:type="dxa"/>
            <w:tcBorders>
              <w:top w:val="single" w:color="000000" w:sz="0"/>
              <w:left w:val="single" w:color="000000" w:sz="0"/>
              <w:bottom w:val="single" w:color="000000" w:sz="4"/>
              <w:right w:val="single" w:color="000000" w:sz="0"/>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 ± 0,1</w:t>
            </w:r>
          </w:p>
        </w:tc>
        <w:tc>
          <w:tcPr>
            <w:tcW w:w="1056"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20,9</w:t>
            </w:r>
          </w:p>
        </w:tc>
        <w:tc>
          <w:tcPr>
            <w:tcW w:w="1324" w:type="dxa"/>
            <w:tcBorders>
              <w:top w:val="single" w:color="000000" w:sz="0"/>
              <w:left w:val="single" w:color="000000" w:sz="0"/>
              <w:bottom w:val="single" w:color="000000" w:sz="4"/>
              <w:right w:val="single" w:color="000000" w:sz="0"/>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51,6</w:t>
            </w:r>
          </w:p>
        </w:tc>
      </w:tr>
      <w:tr>
        <w:trPr>
          <w:trHeight w:val="440" w:hRule="auto"/>
          <w:jc w:val="left"/>
        </w:trPr>
        <w:tc>
          <w:tcPr>
            <w:tcW w:w="1240"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Cu</w:t>
            </w:r>
          </w:p>
        </w:tc>
        <w:tc>
          <w:tcPr>
            <w:tcW w:w="1600"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3,9 ± 0,6</w:t>
            </w:r>
          </w:p>
        </w:tc>
        <w:tc>
          <w:tcPr>
            <w:tcW w:w="1696"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2,4 ± 0,1</w:t>
            </w:r>
          </w:p>
        </w:tc>
        <w:tc>
          <w:tcPr>
            <w:tcW w:w="1797"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14,6 ± 0,7</w:t>
            </w:r>
          </w:p>
        </w:tc>
        <w:tc>
          <w:tcPr>
            <w:tcW w:w="1701"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1,9 ± 0,2</w:t>
            </w:r>
          </w:p>
        </w:tc>
        <w:tc>
          <w:tcPr>
            <w:tcW w:w="1705" w:type="dxa"/>
            <w:tcBorders>
              <w:top w:val="single" w:color="000000" w:sz="0"/>
              <w:left w:val="single" w:color="000000" w:sz="0"/>
              <w:bottom w:val="single" w:color="000000" w:sz="4"/>
              <w:right w:val="single" w:color="000000" w:sz="0"/>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4,6 ± 0,7</w:t>
            </w:r>
          </w:p>
        </w:tc>
        <w:tc>
          <w:tcPr>
            <w:tcW w:w="1056"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34,0</w:t>
            </w:r>
          </w:p>
        </w:tc>
        <w:tc>
          <w:tcPr>
            <w:tcW w:w="1324" w:type="dxa"/>
            <w:tcBorders>
              <w:top w:val="single" w:color="000000" w:sz="0"/>
              <w:left w:val="single" w:color="000000" w:sz="0"/>
              <w:bottom w:val="single" w:color="000000" w:sz="4"/>
              <w:right w:val="single" w:color="000000" w:sz="0"/>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270,0</w:t>
            </w:r>
          </w:p>
        </w:tc>
      </w:tr>
      <w:tr>
        <w:trPr>
          <w:trHeight w:val="440" w:hRule="auto"/>
          <w:jc w:val="left"/>
        </w:trPr>
        <w:tc>
          <w:tcPr>
            <w:tcW w:w="1240"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Zn</w:t>
            </w:r>
          </w:p>
        </w:tc>
        <w:tc>
          <w:tcPr>
            <w:tcW w:w="1600"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46,2 ± 3,0</w:t>
            </w:r>
          </w:p>
        </w:tc>
        <w:tc>
          <w:tcPr>
            <w:tcW w:w="1696"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215,1 ± 1,2</w:t>
            </w:r>
          </w:p>
        </w:tc>
        <w:tc>
          <w:tcPr>
            <w:tcW w:w="1797"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369,5 ± 4,6</w:t>
            </w:r>
          </w:p>
        </w:tc>
        <w:tc>
          <w:tcPr>
            <w:tcW w:w="1701"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33,4 ± 20,8</w:t>
            </w:r>
          </w:p>
        </w:tc>
        <w:tc>
          <w:tcPr>
            <w:tcW w:w="1705" w:type="dxa"/>
            <w:tcBorders>
              <w:top w:val="single" w:color="000000" w:sz="0"/>
              <w:left w:val="single" w:color="000000" w:sz="0"/>
              <w:bottom w:val="single" w:color="000000" w:sz="4"/>
              <w:right w:val="single" w:color="000000" w:sz="0"/>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20,0 ± 6,0</w:t>
            </w:r>
          </w:p>
        </w:tc>
        <w:tc>
          <w:tcPr>
            <w:tcW w:w="1056"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150,0</w:t>
            </w:r>
          </w:p>
        </w:tc>
        <w:tc>
          <w:tcPr>
            <w:tcW w:w="1324" w:type="dxa"/>
            <w:tcBorders>
              <w:top w:val="single" w:color="000000" w:sz="0"/>
              <w:left w:val="single" w:color="000000" w:sz="0"/>
              <w:bottom w:val="single" w:color="000000" w:sz="4"/>
              <w:right w:val="single" w:color="000000" w:sz="0"/>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410,0</w:t>
            </w:r>
          </w:p>
        </w:tc>
      </w:tr>
      <w:tr>
        <w:trPr>
          <w:trHeight w:val="440" w:hRule="auto"/>
          <w:jc w:val="left"/>
        </w:trPr>
        <w:tc>
          <w:tcPr>
            <w:tcW w:w="1240"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As</w:t>
            </w:r>
          </w:p>
        </w:tc>
        <w:tc>
          <w:tcPr>
            <w:tcW w:w="1600"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3,4 ± 0,2</w:t>
            </w:r>
          </w:p>
        </w:tc>
        <w:tc>
          <w:tcPr>
            <w:tcW w:w="1696"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11,4 ± 0,2</w:t>
            </w:r>
          </w:p>
        </w:tc>
        <w:tc>
          <w:tcPr>
            <w:tcW w:w="1797"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12,4 ± 0,1</w:t>
            </w:r>
          </w:p>
        </w:tc>
        <w:tc>
          <w:tcPr>
            <w:tcW w:w="1701"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1,9 ± 0,1</w:t>
            </w:r>
          </w:p>
        </w:tc>
        <w:tc>
          <w:tcPr>
            <w:tcW w:w="1705" w:type="dxa"/>
            <w:tcBorders>
              <w:top w:val="single" w:color="000000" w:sz="0"/>
              <w:left w:val="single" w:color="000000" w:sz="0"/>
              <w:bottom w:val="single" w:color="000000" w:sz="4"/>
              <w:right w:val="single" w:color="000000" w:sz="0"/>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 ± 0,1</w:t>
            </w:r>
          </w:p>
        </w:tc>
        <w:tc>
          <w:tcPr>
            <w:tcW w:w="1056"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19,0</w:t>
            </w:r>
          </w:p>
        </w:tc>
        <w:tc>
          <w:tcPr>
            <w:tcW w:w="1324" w:type="dxa"/>
            <w:tcBorders>
              <w:top w:val="single" w:color="000000" w:sz="0"/>
              <w:left w:val="single" w:color="000000" w:sz="0"/>
              <w:bottom w:val="single" w:color="000000" w:sz="4"/>
              <w:right w:val="single" w:color="000000" w:sz="0"/>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70,0</w:t>
            </w:r>
          </w:p>
        </w:tc>
      </w:tr>
      <w:tr>
        <w:trPr>
          <w:trHeight w:val="440" w:hRule="auto"/>
          <w:jc w:val="left"/>
        </w:trPr>
        <w:tc>
          <w:tcPr>
            <w:tcW w:w="1240"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Cd</w:t>
            </w:r>
          </w:p>
        </w:tc>
        <w:tc>
          <w:tcPr>
            <w:tcW w:w="1600"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 ± 0,02</w:t>
            </w:r>
          </w:p>
        </w:tc>
        <w:tc>
          <w:tcPr>
            <w:tcW w:w="1696"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 ± 0,1</w:t>
            </w:r>
          </w:p>
        </w:tc>
        <w:tc>
          <w:tcPr>
            <w:tcW w:w="1797"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1,6 ± 0,02</w:t>
            </w:r>
          </w:p>
        </w:tc>
        <w:tc>
          <w:tcPr>
            <w:tcW w:w="1701"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 ± 0,01</w:t>
            </w:r>
          </w:p>
        </w:tc>
        <w:tc>
          <w:tcPr>
            <w:tcW w:w="1705" w:type="dxa"/>
            <w:tcBorders>
              <w:top w:val="single" w:color="000000" w:sz="0"/>
              <w:left w:val="single" w:color="000000" w:sz="0"/>
              <w:bottom w:val="single" w:color="000000" w:sz="4"/>
              <w:right w:val="single" w:color="000000" w:sz="0"/>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0,2 ± 0,05</w:t>
            </w:r>
          </w:p>
        </w:tc>
        <w:tc>
          <w:tcPr>
            <w:tcW w:w="1056"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1,2</w:t>
            </w:r>
          </w:p>
        </w:tc>
        <w:tc>
          <w:tcPr>
            <w:tcW w:w="1324" w:type="dxa"/>
            <w:tcBorders>
              <w:top w:val="single" w:color="000000" w:sz="0"/>
              <w:left w:val="single" w:color="000000" w:sz="0"/>
              <w:bottom w:val="single" w:color="000000" w:sz="4"/>
              <w:right w:val="single" w:color="000000" w:sz="0"/>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7,2</w:t>
            </w:r>
          </w:p>
        </w:tc>
      </w:tr>
      <w:tr>
        <w:trPr>
          <w:trHeight w:val="440" w:hRule="auto"/>
          <w:jc w:val="left"/>
        </w:trPr>
        <w:tc>
          <w:tcPr>
            <w:tcW w:w="1240"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Pb</w:t>
            </w:r>
          </w:p>
        </w:tc>
        <w:tc>
          <w:tcPr>
            <w:tcW w:w="1600"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4,3 ± 0,1</w:t>
            </w:r>
          </w:p>
        </w:tc>
        <w:tc>
          <w:tcPr>
            <w:tcW w:w="1696"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17,5 ± 0,8</w:t>
            </w:r>
          </w:p>
        </w:tc>
        <w:tc>
          <w:tcPr>
            <w:tcW w:w="1797"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16,2 ± 1,1</w:t>
            </w:r>
          </w:p>
        </w:tc>
        <w:tc>
          <w:tcPr>
            <w:tcW w:w="1701"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2,1 ± 0,1</w:t>
            </w:r>
          </w:p>
        </w:tc>
        <w:tc>
          <w:tcPr>
            <w:tcW w:w="1705" w:type="dxa"/>
            <w:tcBorders>
              <w:top w:val="single" w:color="000000" w:sz="0"/>
              <w:left w:val="single" w:color="000000" w:sz="0"/>
              <w:bottom w:val="single" w:color="000000" w:sz="4"/>
              <w:right w:val="single" w:color="000000" w:sz="0"/>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1,2 ± 0,1</w:t>
            </w:r>
          </w:p>
        </w:tc>
        <w:tc>
          <w:tcPr>
            <w:tcW w:w="1056" w:type="dxa"/>
            <w:tcBorders>
              <w:top w:val="single" w:color="000000" w:sz="0"/>
              <w:left w:val="single" w:color="000000" w:sz="0"/>
              <w:bottom w:val="single" w:color="000000" w:sz="4"/>
              <w:right w:val="single" w:color="000000" w:sz="4"/>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46,7</w:t>
            </w:r>
          </w:p>
        </w:tc>
        <w:tc>
          <w:tcPr>
            <w:tcW w:w="1324" w:type="dxa"/>
            <w:tcBorders>
              <w:top w:val="single" w:color="000000" w:sz="0"/>
              <w:left w:val="single" w:color="000000" w:sz="0"/>
              <w:bottom w:val="single" w:color="000000" w:sz="4"/>
              <w:right w:val="single" w:color="000000" w:sz="0"/>
            </w:tcBorders>
            <w:shd w:color="000000" w:fill="bfbfbf"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218,0</w:t>
            </w:r>
          </w:p>
        </w:tc>
      </w:tr>
      <w:tr>
        <w:trPr>
          <w:trHeight w:val="440" w:hRule="auto"/>
          <w:jc w:val="left"/>
        </w:trPr>
        <w:tc>
          <w:tcPr>
            <w:tcW w:w="1240"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Al </w:t>
            </w:r>
          </w:p>
        </w:tc>
        <w:tc>
          <w:tcPr>
            <w:tcW w:w="1600"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6528,2 ± 627,4</w:t>
            </w:r>
          </w:p>
        </w:tc>
        <w:tc>
          <w:tcPr>
            <w:tcW w:w="1696"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37253,9 ± 1249,3</w:t>
            </w:r>
          </w:p>
        </w:tc>
        <w:tc>
          <w:tcPr>
            <w:tcW w:w="1797"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39947,5 ± 10739,1</w:t>
            </w:r>
          </w:p>
        </w:tc>
        <w:tc>
          <w:tcPr>
            <w:tcW w:w="1701"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2744,0 ± 166,4</w:t>
            </w:r>
          </w:p>
        </w:tc>
        <w:tc>
          <w:tcPr>
            <w:tcW w:w="1705" w:type="dxa"/>
            <w:tcBorders>
              <w:top w:val="single" w:color="000000" w:sz="0"/>
              <w:left w:val="single" w:color="000000" w:sz="0"/>
              <w:bottom w:val="single" w:color="000000" w:sz="4"/>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1172,0 ± 375,9</w:t>
            </w:r>
          </w:p>
        </w:tc>
        <w:tc>
          <w:tcPr>
            <w:tcW w:w="1056"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NE</w:t>
            </w:r>
          </w:p>
        </w:tc>
        <w:tc>
          <w:tcPr>
            <w:tcW w:w="1324" w:type="dxa"/>
            <w:tcBorders>
              <w:top w:val="single" w:color="000000" w:sz="0"/>
              <w:left w:val="single" w:color="000000" w:sz="0"/>
              <w:bottom w:val="single" w:color="000000" w:sz="4"/>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NE</w:t>
            </w:r>
          </w:p>
        </w:tc>
      </w:tr>
      <w:tr>
        <w:trPr>
          <w:trHeight w:val="440" w:hRule="auto"/>
          <w:jc w:val="left"/>
        </w:trPr>
        <w:tc>
          <w:tcPr>
            <w:tcW w:w="1240"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Mn</w:t>
            </w:r>
          </w:p>
        </w:tc>
        <w:tc>
          <w:tcPr>
            <w:tcW w:w="1600"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107,7 ± 5,4</w:t>
            </w:r>
          </w:p>
        </w:tc>
        <w:tc>
          <w:tcPr>
            <w:tcW w:w="1696"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435,2 ± 11,5</w:t>
            </w:r>
          </w:p>
        </w:tc>
        <w:tc>
          <w:tcPr>
            <w:tcW w:w="1797"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512,5 ± 7,1</w:t>
            </w:r>
          </w:p>
        </w:tc>
        <w:tc>
          <w:tcPr>
            <w:tcW w:w="1701"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64,6 ± 3,1</w:t>
            </w:r>
          </w:p>
        </w:tc>
        <w:tc>
          <w:tcPr>
            <w:tcW w:w="1705" w:type="dxa"/>
            <w:tcBorders>
              <w:top w:val="single" w:color="000000" w:sz="0"/>
              <w:left w:val="single" w:color="000000" w:sz="0"/>
              <w:bottom w:val="single" w:color="000000" w:sz="4"/>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34,2 ± 7,2</w:t>
            </w:r>
          </w:p>
        </w:tc>
        <w:tc>
          <w:tcPr>
            <w:tcW w:w="1056"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NE</w:t>
            </w:r>
          </w:p>
        </w:tc>
        <w:tc>
          <w:tcPr>
            <w:tcW w:w="1324" w:type="dxa"/>
            <w:tcBorders>
              <w:top w:val="single" w:color="000000" w:sz="0"/>
              <w:left w:val="single" w:color="000000" w:sz="0"/>
              <w:bottom w:val="single" w:color="000000" w:sz="4"/>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NE</w:t>
            </w:r>
          </w:p>
        </w:tc>
      </w:tr>
      <w:tr>
        <w:trPr>
          <w:trHeight w:val="440" w:hRule="auto"/>
          <w:jc w:val="left"/>
        </w:trPr>
        <w:tc>
          <w:tcPr>
            <w:tcW w:w="1240"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Fe</w:t>
            </w:r>
          </w:p>
        </w:tc>
        <w:tc>
          <w:tcPr>
            <w:tcW w:w="1600"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6620,0 ± 279,0</w:t>
            </w:r>
          </w:p>
        </w:tc>
        <w:tc>
          <w:tcPr>
            <w:tcW w:w="1696"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39713,4 ± 1059,0</w:t>
            </w:r>
          </w:p>
        </w:tc>
        <w:tc>
          <w:tcPr>
            <w:tcW w:w="1797"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43428,0 ± 11145,6</w:t>
            </w:r>
          </w:p>
        </w:tc>
        <w:tc>
          <w:tcPr>
            <w:tcW w:w="1701"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2986,8 ± 103,2</w:t>
            </w:r>
          </w:p>
        </w:tc>
        <w:tc>
          <w:tcPr>
            <w:tcW w:w="1705" w:type="dxa"/>
            <w:tcBorders>
              <w:top w:val="single" w:color="000000" w:sz="0"/>
              <w:left w:val="single" w:color="000000" w:sz="0"/>
              <w:bottom w:val="single" w:color="000000" w:sz="4"/>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2132,1 ± 209,5</w:t>
            </w:r>
          </w:p>
        </w:tc>
        <w:tc>
          <w:tcPr>
            <w:tcW w:w="1056"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NE</w:t>
            </w:r>
          </w:p>
        </w:tc>
        <w:tc>
          <w:tcPr>
            <w:tcW w:w="1324" w:type="dxa"/>
            <w:tcBorders>
              <w:top w:val="single" w:color="000000" w:sz="0"/>
              <w:left w:val="single" w:color="000000" w:sz="0"/>
              <w:bottom w:val="single" w:color="000000" w:sz="4"/>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NE</w:t>
            </w:r>
          </w:p>
        </w:tc>
      </w:tr>
      <w:tr>
        <w:trPr>
          <w:trHeight w:val="440" w:hRule="auto"/>
          <w:jc w:val="left"/>
        </w:trPr>
        <w:tc>
          <w:tcPr>
            <w:tcW w:w="1240"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Se</w:t>
            </w:r>
          </w:p>
        </w:tc>
        <w:tc>
          <w:tcPr>
            <w:tcW w:w="1600"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43,7 ± 2,2</w:t>
            </w:r>
          </w:p>
        </w:tc>
        <w:tc>
          <w:tcPr>
            <w:tcW w:w="1696"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213,1 ± 10,3</w:t>
            </w:r>
          </w:p>
        </w:tc>
        <w:tc>
          <w:tcPr>
            <w:tcW w:w="1797"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220,0 ± 0,6</w:t>
            </w:r>
          </w:p>
        </w:tc>
        <w:tc>
          <w:tcPr>
            <w:tcW w:w="1701"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28,0 ± 1,8</w:t>
            </w:r>
          </w:p>
        </w:tc>
        <w:tc>
          <w:tcPr>
            <w:tcW w:w="1705" w:type="dxa"/>
            <w:tcBorders>
              <w:top w:val="single" w:color="000000" w:sz="0"/>
              <w:left w:val="single" w:color="000000" w:sz="0"/>
              <w:bottom w:val="single" w:color="000000" w:sz="4"/>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21,7 ± 1,9</w:t>
            </w:r>
          </w:p>
        </w:tc>
        <w:tc>
          <w:tcPr>
            <w:tcW w:w="1056"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NE</w:t>
            </w:r>
          </w:p>
        </w:tc>
        <w:tc>
          <w:tcPr>
            <w:tcW w:w="1324" w:type="dxa"/>
            <w:tcBorders>
              <w:top w:val="single" w:color="000000" w:sz="0"/>
              <w:left w:val="single" w:color="000000" w:sz="0"/>
              <w:bottom w:val="single" w:color="000000" w:sz="4"/>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NE</w:t>
            </w:r>
          </w:p>
        </w:tc>
      </w:tr>
      <w:tr>
        <w:trPr>
          <w:trHeight w:val="440" w:hRule="auto"/>
          <w:jc w:val="left"/>
        </w:trPr>
        <w:tc>
          <w:tcPr>
            <w:tcW w:w="1240"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Ba</w:t>
            </w:r>
          </w:p>
        </w:tc>
        <w:tc>
          <w:tcPr>
            <w:tcW w:w="1600"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12,1 ± 0,8</w:t>
            </w:r>
          </w:p>
        </w:tc>
        <w:tc>
          <w:tcPr>
            <w:tcW w:w="1696"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71,5 ± 2,4</w:t>
            </w:r>
          </w:p>
        </w:tc>
        <w:tc>
          <w:tcPr>
            <w:tcW w:w="1797"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72,2 ± 0,9</w:t>
            </w:r>
          </w:p>
        </w:tc>
        <w:tc>
          <w:tcPr>
            <w:tcW w:w="1701"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9,0 ± 0,6</w:t>
            </w:r>
          </w:p>
        </w:tc>
        <w:tc>
          <w:tcPr>
            <w:tcW w:w="1705" w:type="dxa"/>
            <w:tcBorders>
              <w:top w:val="single" w:color="000000" w:sz="0"/>
              <w:left w:val="single" w:color="000000" w:sz="0"/>
              <w:bottom w:val="single" w:color="000000" w:sz="4"/>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8,0 ± 2,6</w:t>
            </w:r>
          </w:p>
        </w:tc>
        <w:tc>
          <w:tcPr>
            <w:tcW w:w="1056"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NE</w:t>
            </w:r>
          </w:p>
        </w:tc>
        <w:tc>
          <w:tcPr>
            <w:tcW w:w="1324" w:type="dxa"/>
            <w:tcBorders>
              <w:top w:val="single" w:color="000000" w:sz="0"/>
              <w:left w:val="single" w:color="000000" w:sz="0"/>
              <w:bottom w:val="single" w:color="000000" w:sz="4"/>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NE</w:t>
            </w:r>
          </w:p>
        </w:tc>
      </w:tr>
      <w:tr>
        <w:trPr>
          <w:trHeight w:val="440" w:hRule="auto"/>
          <w:jc w:val="left"/>
        </w:trPr>
        <w:tc>
          <w:tcPr>
            <w:tcW w:w="1240" w:type="dxa"/>
            <w:tcBorders>
              <w:top w:val="single" w:color="000000" w:sz="0"/>
              <w:left w:val="single" w:color="000000" w:sz="0"/>
              <w:bottom w:val="single" w:color="000000" w:sz="8"/>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U</w:t>
            </w:r>
          </w:p>
        </w:tc>
        <w:tc>
          <w:tcPr>
            <w:tcW w:w="1600" w:type="dxa"/>
            <w:tcBorders>
              <w:top w:val="single" w:color="000000" w:sz="0"/>
              <w:left w:val="single" w:color="000000" w:sz="0"/>
              <w:bottom w:val="single" w:color="000000" w:sz="8"/>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0,6 ± 0,02</w:t>
            </w:r>
          </w:p>
        </w:tc>
        <w:tc>
          <w:tcPr>
            <w:tcW w:w="1696" w:type="dxa"/>
            <w:tcBorders>
              <w:top w:val="single" w:color="000000" w:sz="0"/>
              <w:left w:val="single" w:color="000000" w:sz="0"/>
              <w:bottom w:val="single" w:color="000000" w:sz="8"/>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2,1 ± 0,1</w:t>
            </w:r>
          </w:p>
        </w:tc>
        <w:tc>
          <w:tcPr>
            <w:tcW w:w="1797" w:type="dxa"/>
            <w:tcBorders>
              <w:top w:val="single" w:color="000000" w:sz="0"/>
              <w:left w:val="single" w:color="000000" w:sz="0"/>
              <w:bottom w:val="single" w:color="000000" w:sz="8"/>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1,8 ± 0,1</w:t>
            </w:r>
          </w:p>
        </w:tc>
        <w:tc>
          <w:tcPr>
            <w:tcW w:w="1701" w:type="dxa"/>
            <w:tcBorders>
              <w:top w:val="single" w:color="000000" w:sz="0"/>
              <w:left w:val="single" w:color="000000" w:sz="0"/>
              <w:bottom w:val="single" w:color="000000" w:sz="8"/>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0,6 ± 0,1</w:t>
            </w:r>
          </w:p>
        </w:tc>
        <w:tc>
          <w:tcPr>
            <w:tcW w:w="1705" w:type="dxa"/>
            <w:tcBorders>
              <w:top w:val="single" w:color="000000" w:sz="0"/>
              <w:left w:val="single" w:color="000000" w:sz="0"/>
              <w:bottom w:val="single" w:color="000000" w:sz="8"/>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 ± 0,1</w:t>
            </w:r>
          </w:p>
        </w:tc>
        <w:tc>
          <w:tcPr>
            <w:tcW w:w="1056" w:type="dxa"/>
            <w:tcBorders>
              <w:top w:val="single" w:color="000000" w:sz="0"/>
              <w:left w:val="single" w:color="000000" w:sz="0"/>
              <w:bottom w:val="single" w:color="000000" w:sz="8"/>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NE</w:t>
            </w:r>
          </w:p>
        </w:tc>
        <w:tc>
          <w:tcPr>
            <w:tcW w:w="1324" w:type="dxa"/>
            <w:tcBorders>
              <w:top w:val="single" w:color="000000" w:sz="0"/>
              <w:left w:val="single" w:color="000000" w:sz="0"/>
              <w:bottom w:val="single" w:color="000000" w:sz="8"/>
              <w:right w:val="single" w:color="000000" w:sz="0"/>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NE</w:t>
            </w:r>
          </w:p>
        </w:tc>
      </w:tr>
      <w:tr>
        <w:trPr>
          <w:trHeight w:val="440" w:hRule="auto"/>
          <w:jc w:val="left"/>
        </w:trPr>
        <w:tc>
          <w:tcPr>
            <w:tcW w:w="9739" w:type="dxa"/>
            <w:gridSpan w:val="6"/>
            <w:tcBorders>
              <w:top w:val="single" w:color="000000" w:sz="0"/>
              <w:left w:val="single" w:color="000000" w:sz="0"/>
              <w:bottom w:val="single" w:color="000000" w:sz="0"/>
              <w:right w:val="single" w:color="000000" w:sz="0"/>
            </w:tcBorders>
            <w:shd w:color="auto" w:fill="auto" w:val="clear"/>
            <w:tcMar>
              <w:left w:w="70" w:type="dxa"/>
              <w:right w:w="70"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Média das concentrações ± desvio padrão. NE </w:t>
            </w:r>
            <w:r>
              <w:rPr>
                <w:rFonts w:ascii="Times New Roman" w:hAnsi="Times New Roman" w:cs="Times New Roman" w:eastAsia="Times New Roman"/>
                <w:color w:val="000000"/>
                <w:spacing w:val="0"/>
                <w:position w:val="0"/>
                <w:sz w:val="20"/>
                <w:shd w:fill="auto" w:val="clear"/>
              </w:rPr>
              <w:t xml:space="preserve">–</w:t>
            </w:r>
            <w:r>
              <w:rPr>
                <w:rFonts w:ascii="Times New Roman" w:hAnsi="Times New Roman" w:cs="Times New Roman" w:eastAsia="Times New Roman"/>
                <w:color w:val="000000"/>
                <w:spacing w:val="0"/>
                <w:position w:val="0"/>
                <w:sz w:val="20"/>
                <w:shd w:fill="auto" w:val="clear"/>
              </w:rPr>
              <w:t xml:space="preserve"> valores n</w:t>
            </w:r>
            <w:r>
              <w:rPr>
                <w:rFonts w:ascii="Times New Roman" w:hAnsi="Times New Roman" w:cs="Times New Roman" w:eastAsia="Times New Roman"/>
                <w:color w:val="000000"/>
                <w:spacing w:val="0"/>
                <w:position w:val="0"/>
                <w:sz w:val="20"/>
                <w:shd w:fill="auto" w:val="clear"/>
              </w:rPr>
              <w:t xml:space="preserve">ão especificados.</w:t>
            </w:r>
          </w:p>
        </w:tc>
        <w:tc>
          <w:tcPr>
            <w:tcW w:w="1056"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4"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Resolução CONAMA nº 454/2012 (BRASIL, 2012) classifica essas concentrações como Nível 1 e Nível 2 (Tabela 5), em que: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Nível 1 </w:t>
      </w:r>
      <w:r>
        <w:rPr>
          <w:rFonts w:ascii="Times New Roman" w:hAnsi="Times New Roman" w:cs="Times New Roman" w:eastAsia="Times New Roman"/>
          <w:color w:val="auto"/>
          <w:spacing w:val="0"/>
          <w:position w:val="0"/>
          <w:sz w:val="24"/>
          <w:shd w:fill="auto" w:val="clear"/>
        </w:rPr>
        <w:t xml:space="preserve">- limiar abaixo do qual há menor probabilidade de efeitos adversos à biota;</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Nível 2</w:t>
      </w:r>
      <w:r>
        <w:rPr>
          <w:rFonts w:ascii="Times New Roman" w:hAnsi="Times New Roman" w:cs="Times New Roman" w:eastAsia="Times New Roman"/>
          <w:color w:val="auto"/>
          <w:spacing w:val="0"/>
          <w:position w:val="0"/>
          <w:sz w:val="24"/>
          <w:shd w:fill="auto" w:val="clear"/>
        </w:rPr>
        <w:t xml:space="preserve"> - limiar acima do qual há maior probabilidade de efeitos adversos à biota.</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Comparando as concentrações encontradas neste trabalho com os valores da resolução nº 454/12 (Tabela 5), observou-se que, com exceção do Cd e Zn, os metais Cr, Ni, Cu, As e Pb apresentam concentrações abaixo do Nível I em todos os pontos avaliados, de forma que as concentrações desses metais estão abaixo do valor de menor probabilidade de efeito adverso a biota nesses pontos. O Zn e o Cd, no entanto, apresentaram concentrações acima do Nível I no ponto P1, e o Zn apresentou, também, concentração acima do Nível I no ponto P3, evidenciando o problema da contaminação por zinco e cádmio na Baía de Sepetiba. Não é possível citar uma fonte específica para estes metais, devido a históricos de contaminação aos quais a baía está submetida, no entanto podem existir contribuições provenientes do bairro Sepetiba e das atividades portuárias. Além disto, existe uma fonte muita bem definida de cádmio e zinco que é a área de rejeitos industriais da Companhia Mercantil Ingá, o que pode levar as altas concentrações destes metais na região (LOUREIRO et al., 2003; FREITAS et al., 2019).</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análise de Cu e Pb, observa-se que as maiores concentrações estão nos pontos P1 e P3 para o Pb e no ponto P3 para o Cu, corroborando dados da literatura, que mencionam que esses metais podem ser encontrados em resíduos metalúrgicos que atingem essa área (FERREIRA; </w:t>
      </w:r>
      <w:r>
        <w:rPr>
          <w:rFonts w:ascii="Times New Roman" w:hAnsi="Times New Roman" w:cs="Times New Roman" w:eastAsia="Times New Roman"/>
          <w:color w:val="auto"/>
          <w:spacing w:val="0"/>
          <w:position w:val="0"/>
          <w:sz w:val="22"/>
          <w:shd w:fill="auto" w:val="clear"/>
        </w:rPr>
        <w:t xml:space="preserve">HORTA; CUNHA,</w:t>
      </w:r>
      <w:r>
        <w:rPr>
          <w:rFonts w:ascii="Times New Roman" w:hAnsi="Times New Roman" w:cs="Times New Roman" w:eastAsia="Times New Roman"/>
          <w:color w:val="auto"/>
          <w:spacing w:val="0"/>
          <w:position w:val="0"/>
          <w:sz w:val="24"/>
          <w:shd w:fill="auto" w:val="clear"/>
        </w:rPr>
        <w:t xml:space="preserve"> 2010; FREITAS et al., 2019). As concentrações destes metais estariam relacionadas ao processamento de minério de zinco, uma vez que, geralmente, estes ocorrem em baixa proporção nas estruturas de minerais ricos em Zn (LOUREIRO et al., 2003).</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maiores concentrações de Cr e Ni foram observadas nos pontos P1 e P3 (Tabela 5). Diferenças  para esses metais foram observadas apenas entre estes e os pontos P4 e P5. Pontos a serem destacados são a evidência de uma possível fonte para Cr e Ni na região próxima ao município de Sepetiba, conforme os resultados encontrados nos pontos P1 e P3, e a ausência dessa contaminação junto ao Porto de Sepetiba e dentro do estaleiro de Submarinos da Marinha, fato que pode ser justificado pelas dragagens realizadas nesses pontos de forma a elevar o calado dos portos.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comparação com trabalhos anteriores (Tabela 6), realizados em diversas regiões da baía de Sepetiba, observou-se que  as concentrações de Ni em sedimentos são superiores ao intervalo descrito por Ferreira et al., 2010 (0,01 - 8,09 µg/g) e menor que os descritos por Herms e Gurgel, 2012 (13,8 - 21,9 µg/g) e FEEMA, 2006 (1,0 - 200,0 µg/g). Mesmo com essa variação na concentração, alguns autores, indicam que a ocorrência de Ni na região pode ser de origem natural (RODRIGUES et al., 2009; RODRIGUES et al., 2017).</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forma semelhante aos metais citados anteriormente o As, também, apresenta as maiores concentrações nos pontos P1 e P3 (Tabela 5), sem diferenças entre eles. Diferenças para as concentrações desses metais foram observadas apenas entre estes e os pontos P4 e P5. No entanto, esta faixa de concentração é semelhante à reportada pela literatura, mostrando pouca variação da concentração deste metal no decorrer dos anos (RIBEIRO et al., 2007).</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Conforme nota-se na Tabela 5, a resolução nº 454/2012, assim como os guias internacionais NOAA (</w:t>
      </w:r>
      <w:r>
        <w:rPr>
          <w:rFonts w:ascii="Times New Roman" w:hAnsi="Times New Roman" w:cs="Times New Roman" w:eastAsia="Times New Roman"/>
          <w:i/>
          <w:color w:val="auto"/>
          <w:spacing w:val="0"/>
          <w:position w:val="0"/>
          <w:sz w:val="24"/>
          <w:shd w:fill="auto" w:val="clear"/>
        </w:rPr>
        <w:t xml:space="preserve">National Oceanic and Atmosferic and Administration</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USA) e CCME (</w:t>
      </w:r>
      <w:r>
        <w:rPr>
          <w:rFonts w:ascii="Times New Roman" w:hAnsi="Times New Roman" w:cs="Times New Roman" w:eastAsia="Times New Roman"/>
          <w:i/>
          <w:color w:val="auto"/>
          <w:spacing w:val="0"/>
          <w:position w:val="0"/>
          <w:sz w:val="24"/>
          <w:shd w:fill="auto" w:val="clear"/>
        </w:rPr>
        <w:t xml:space="preserve">Canadian Council of Ministers of the Environment</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CAN), n</w:t>
      </w:r>
      <w:r>
        <w:rPr>
          <w:rFonts w:ascii="Times New Roman" w:hAnsi="Times New Roman" w:cs="Times New Roman" w:eastAsia="Times New Roman"/>
          <w:color w:val="auto"/>
          <w:spacing w:val="0"/>
          <w:position w:val="0"/>
          <w:sz w:val="24"/>
          <w:shd w:fill="auto" w:val="clear"/>
        </w:rPr>
        <w:t xml:space="preserve">ão apresentam valores de referência quanto a qualidade do sedimento para alguns dos metais analisados, como alumínio, bário, ferro, manganês, selênio e urânio, tornando difícil a avaliação destes metais.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acordo com os resultados é possível observar que nos sedimentos, os metais Al e Fe são os metais predominantes, com concentrações variando de 1.172,0 a 39.947,5 µg/g para o Al e de 2.132,1 a 43.428,0 µg/g para o Fe. As concentrações elevadas de Al podem estar associadas à presença de argilo-minerais, tipos de argilas na qual o Al faz parte da estrutura (CUNHA, 2005). Para o Fe, suas altas concentrações estão, provavelmente, relacionadas as cargas provenientes dos principais afluentes da Baía de Sepetiba (FEEMA, 2006), rodeados por indústrias de diversos setores, destacando-se os setores químico e metalúrgico.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modo geral, as concentrações determinadas para os metais Cr, As, Fe, Al e Mn, no sedimento dos pontos de coleta deste trabalho, encontram-se semelhantes aos resultados de trabalhos anteriores descritos na literatura (Tabela 6), demonstrando pequena variação a longo do tempo. Para os metais Ni, Pb, Cu, Zn, Cd e Ba, suas concentrações foram inferiores as reportados nos mesmos trabalhos mencionados na Tabela 6. Com relação ao Se e U não foram encontradas publicações que nos permitisse uma comparação. É importante ressaltar que a revisão da Tabela 6 não foi considerada a forma de extração dos metais em cada trabalho e isso pode influenciar na comparação dos resultados deste trabalho com os valores anteriormente encontrados.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Tabela 6</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Concentra</w:t>
      </w:r>
      <w:r>
        <w:rPr>
          <w:rFonts w:ascii="Times New Roman" w:hAnsi="Times New Roman" w:cs="Times New Roman" w:eastAsia="Times New Roman"/>
          <w:color w:val="auto"/>
          <w:spacing w:val="0"/>
          <w:position w:val="0"/>
          <w:sz w:val="24"/>
          <w:shd w:fill="auto" w:val="clear"/>
        </w:rPr>
        <w:t xml:space="preserve">ções (µg/g) de metais (mínimo e máximo) em sedimentos na Baía de Sepetiba entre 1987 e 2019.</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object w:dxaOrig="13443" w:dyaOrig="6437">
          <v:rect xmlns:o="urn:schemas-microsoft-com:office:office" xmlns:v="urn:schemas-microsoft-com:vml" id="rectole0000000005" style="width:672.150000pt;height:321.85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5" ShapeID="rectole0000000005" r:id="docRId11"/>
        </w:objec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comparação com resultados de determinação da concentração de metais pesados/traço avaliados em sedimentos de outras baías brasileiras (Tabela 7), os resultados mostraram que as concentrações máximas de Al, As, Fe, Mn e Zn determinadas neste trabalho, estão acima das concentrações encontradas em outras baías brasileiras, concentrações estas semelhantes as encontrados nos sedimentos do porto de Pecém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CE, local considerado como ligeiramente polu</w:t>
      </w:r>
      <w:r>
        <w:rPr>
          <w:rFonts w:ascii="Times New Roman" w:hAnsi="Times New Roman" w:cs="Times New Roman" w:eastAsia="Times New Roman"/>
          <w:color w:val="auto"/>
          <w:spacing w:val="0"/>
          <w:position w:val="0"/>
          <w:sz w:val="24"/>
          <w:shd w:fill="auto" w:val="clear"/>
        </w:rPr>
        <w:t xml:space="preserve">ído (BURUAEM et al., 2012). Já os metais Cd, Cr, Cu, Ni e Pb apresentam valores próximos dos encontrados nas outras baías. O Ba e o U apresentaram concentrações abaixo das concentrações encontradas em outras baías e com relação ao Se, novamente, não foram encontrados trabalhos para comparação.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Comparando-se os dados deste trabalhos com resultados de baías internacionais (Tabela 7) observa-se que as concentrações máximas dos metais Al, Ba, Cd, Cr, Cu, Mn, Ni e Pb, encontradas em sedimentos na baía de Sepetiba, estão abaixo das concentrações reportadas para estes metais em outras baías do mundo, com exceção a concentração do Al e Cd na baía Kachemak Port Grahan, Alaska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EUA, bem inferior as reportadas neste trabalho, e ao Cd na baía de Laizhou, China. Em relação à concentração de As, observa-se uma semelhança entre as apresentadas neste trabalho e nos relacionados na Tabela 7. Com relação ao U não foram encontradas publicações que nos permitisse uma comparação. As concentrações de Fe foram semelhantes as encontradas na Baía de Izmit, Turquia, no entanto, foram superiores as demais apresentadas na Tabela 7.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relação ao Se, observou-se que as concentrações encontradas na baía de Sepetiba, estão extremamente acima das concentrações apresentadas na Tabela 7. As altas concentrações deste metal em sedimento remetem a preocupação com a toxicidade, pois concentração inferior a 3,0 ug/g já é capaz de gerar efeitos tóxicos em organismos marinhos (SEIXAS et al., 2007).</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relação às principais fontes de contaminação por metais pesados na área estudada, é preciso considerar que a Baía de Sepetiba possui histórico de contaminação por metais pesados e enfrenta inúmeros problemas de poluição ambiental, destacando-se: rejeitos abandonados da antiga companhia de mineração INGÀ, remobilização de metais pesados proveniente de dragagem de sedimentos, devido ao alto trafego de embarcações no Porto de Itaguaí, transposição de rios com alto aporte de cargas sólidas, poluição industrial e por  esgotos doméstico,  além da contribuição natural de rochas erodidas (ROCHA et al., 2010). Desse modo não é possível apontar uma fonte específica.</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Tabela 7</w:t>
      </w:r>
      <w:r>
        <w:rPr>
          <w:rFonts w:ascii="Times New Roman" w:hAnsi="Times New Roman" w:cs="Times New Roman" w:eastAsia="Times New Roman"/>
          <w:color w:val="auto"/>
          <w:spacing w:val="0"/>
          <w:position w:val="0"/>
          <w:sz w:val="24"/>
          <w:shd w:fill="auto" w:val="clear"/>
        </w:rPr>
        <w:t xml:space="preserve"> - Concentrações (µg/g) de metais em sedimentos na Baía de Sepetiba e outras baías.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13908" w:dyaOrig="6835">
          <v:rect xmlns:o="urn:schemas-microsoft-com:office:office" xmlns:v="urn:schemas-microsoft-com:vml" id="rectole0000000006" style="width:695.400000pt;height:341.750000pt" o:preferrelative="t" o:ole="">
            <o:lock v:ext="edit"/>
            <v:imagedata xmlns:r="http://schemas.openxmlformats.org/officeDocument/2006/relationships" r:id="docRId14" o:title=""/>
          </v:rect>
          <o:OLEObject xmlns:r="http://schemas.openxmlformats.org/officeDocument/2006/relationships" xmlns:o="urn:schemas-microsoft-com:office:office" Type="Embed" ProgID="StaticMetafile" DrawAspect="Content" ObjectID="0000000006" ShapeID="rectole0000000006" r:id="docRId13"/>
        </w:objec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Assim, em relação ao empreendimento Estaleiro e Base Naval de Submarinos Convencionais e Nucleares da Marinha do Brasil (EBN), não é possível a realização de uma análise profunda sobre os impactos deste no local, tomando-se como referência as análises aqui apresentadas e o relatório emitido pelo Projeto de Avaliação de Impactos Cumulativos (PAIC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Petrobr</w:t>
      </w:r>
      <w:r>
        <w:rPr>
          <w:rFonts w:ascii="Times New Roman" w:hAnsi="Times New Roman" w:cs="Times New Roman" w:eastAsia="Times New Roman"/>
          <w:color w:val="auto"/>
          <w:spacing w:val="0"/>
          <w:position w:val="0"/>
          <w:sz w:val="24"/>
          <w:shd w:fill="auto" w:val="clear"/>
        </w:rPr>
        <w:t xml:space="preserve">ás), publicado em agosto de 2019. Pode-se dizer que os principais impactos previtos sob o empreendimento estão relacionados à remobilização de poluentes, provenientes de operações de dragagem, os quais podem resultar no aumento da turbidez da água e também na remobilização dos metais traço na baía de Sepetiba.</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Neste contexto, a partir dos resultados aqui apresentados, da determinação dos metais disponíveis na Tabela 5, observa-se que as maiores concentrações de metais analisados encontram-se nos pontos P1 e P3.</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Deste modo, a fim de avaliar se está ocorrendo progressão ou regressão das concentrações dos metais analisados, na região Norte da Baía de Sepetiba, região sob influência do empreendimento EBN, é necessária a avaliação constante do sedimento no local.</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310"/>
        </w:numPr>
        <w:spacing w:before="0" w:after="0" w:line="259"/>
        <w:ind w:right="0" w:left="714" w:hanging="357"/>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CONCLUSÃO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meio deste trabalho foi possível determinar a concentração de treze metais em sedimentos da Baía de Sepetiba empregando a técnica de ICP-MS. O método utilizado nas análises foi baseado no método EPA 6020b, em que para atestar sua confiabilidade e adequação ao que se pretende, o mesmo foi submetido a algumas figuras mérito, sendo obtidos valores de coeficiente de correlação superiores a 0,99 para todas as curvas de calibração analíticas feitas, valor este em conformidade com os guias seguidos. Os limites de detecção e quantificação, calculados por meios dos dados da curva analítica, apresentaram resultados que nos permitiram quantificar com precisão e exatidão.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resultados deste trabalho indicaram que as concentrações dos metais As, Cu, Cr, Ni e Pb nos sedimentos analisados, de acordo com a RC454/12, oferecem menor probabilidade de efeito adversos a biota. Desse modo, a partir do momento analisado, conclui-se que eles não comprometem a qualidade da água nos pontos analisados. No entanto, mediante variações físico-químicas e dragagem há riscos de serem remobilziados para a coluna d´água e, dependendo da sua concentração, causar contaminação da água, comprometendo assim sua qualidade. Com relação ao Cd e Zn, nos pontos P1 e P3, estes apresentaram concentrações superiores ao Nível 1, o que demonstra uma certa preocupação em relação a estes metais, pois podem causar algum efeito adverso a biota.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relação aos demais metais, não existem legislações para compará-los, no entanto, eles também podem ser remobilizados e comprometer a qualidade da água.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Além disso, este trabalho forneceu informações inéditas sobre a concentração de selênio em sedimentos da Baía de Sepetiba, o que é de grande importância, pois baixas concentrações já são capazes de gerar efeitos tóxicos em organismos marinhos, quando remobilizados para a coluna d`água.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informações aqui geradas sobre as concentrações de metais na região do empreendimento EBN fornecem informações preliminares para análises posteriores, de forma a acompanhar a progressão ou regressão das concentrações dos metais nos pontos estudados. Assim, medidas de controle da contaminação desses metais pesados podem ser tomadas, garantindo a qualidade da água na região do empreendimento.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312"/>
        </w:numPr>
        <w:spacing w:before="0" w:after="0" w:line="259"/>
        <w:ind w:right="0" w:left="714" w:hanging="357"/>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REFERÊNCIAS</w:t>
      </w:r>
    </w:p>
    <w:p>
      <w:pPr>
        <w:spacing w:before="120" w:after="120" w:line="259"/>
        <w:ind w:right="0" w:left="0" w:firstLine="709"/>
        <w:jc w:val="both"/>
        <w:rPr>
          <w:rFonts w:ascii="Times New Roman" w:hAnsi="Times New Roman" w:cs="Times New Roman" w:eastAsia="Times New Roman"/>
          <w:color w:val="auto"/>
          <w:spacing w:val="0"/>
          <w:position w:val="0"/>
          <w:sz w:val="24"/>
          <w:shd w:fill="auto" w:val="clear"/>
        </w:rPr>
      </w:pP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ABDALLAH, M. A. M. Speciation of trace metals in coastal sediments of El-Mex bay south mediterranean sea</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west of alexandria (Egypt). </w:t>
      </w:r>
      <w:r>
        <w:rPr>
          <w:rFonts w:ascii="Times New Roman" w:hAnsi="Times New Roman" w:cs="Times New Roman" w:eastAsia="Times New Roman"/>
          <w:b/>
          <w:color w:val="auto"/>
          <w:spacing w:val="0"/>
          <w:position w:val="0"/>
          <w:sz w:val="22"/>
          <w:shd w:fill="auto" w:val="clear"/>
        </w:rPr>
        <w:t xml:space="preserve">Environmental Monitoring and Assessment</w:t>
      </w:r>
      <w:r>
        <w:rPr>
          <w:rFonts w:ascii="Times New Roman" w:hAnsi="Times New Roman" w:cs="Times New Roman" w:eastAsia="Times New Roman"/>
          <w:color w:val="auto"/>
          <w:spacing w:val="0"/>
          <w:position w:val="0"/>
          <w:sz w:val="22"/>
          <w:shd w:fill="auto" w:val="clear"/>
        </w:rPr>
        <w:t xml:space="preserve">, v. 132, n. 1-3, p. 111-123, 2007;</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ABERNATHY, C. O.; Liu, Y. P.; Longfellow, D.; Aposhian, H. V.; Beck, B.; Fowler, B.; Goyer, R.; Menzer, R.; Rossman, T.; Thompson, C.; Waalkes, M. Arsenic: health effects, mechanisms of actions, and research issues. </w:t>
      </w:r>
      <w:r>
        <w:rPr>
          <w:rFonts w:ascii="Times New Roman" w:hAnsi="Times New Roman" w:cs="Times New Roman" w:eastAsia="Times New Roman"/>
          <w:b/>
          <w:color w:val="auto"/>
          <w:spacing w:val="0"/>
          <w:position w:val="0"/>
          <w:sz w:val="22"/>
          <w:shd w:fill="auto" w:val="clear"/>
        </w:rPr>
        <w:t xml:space="preserve">Environmental Health Perspectives.</w:t>
      </w:r>
      <w:r>
        <w:rPr>
          <w:rFonts w:ascii="Times New Roman" w:hAnsi="Times New Roman" w:cs="Times New Roman" w:eastAsia="Times New Roman"/>
          <w:color w:val="auto"/>
          <w:spacing w:val="0"/>
          <w:position w:val="0"/>
          <w:sz w:val="22"/>
          <w:shd w:fill="auto" w:val="clear"/>
        </w:rPr>
        <w:t xml:space="preserve"> v. 107, n. 7, p. 593-597, 1999; </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AGENCY FOR TOXIC SUBSTANCE AND DISEASE REGISTRY - ATSDR. </w:t>
      </w:r>
      <w:r>
        <w:rPr>
          <w:rFonts w:ascii="Times New Roman" w:hAnsi="Times New Roman" w:cs="Times New Roman" w:eastAsia="Times New Roman"/>
          <w:b/>
          <w:color w:val="auto"/>
          <w:spacing w:val="0"/>
          <w:position w:val="0"/>
          <w:sz w:val="22"/>
          <w:shd w:fill="auto" w:val="clear"/>
        </w:rPr>
        <w:t xml:space="preserve">Toxicological Profile for Arsenic U.S. Department of Health and Humans Services, Public Health Humans Services</w:t>
      </w:r>
      <w:r>
        <w:rPr>
          <w:rFonts w:ascii="Times New Roman" w:hAnsi="Times New Roman" w:cs="Times New Roman" w:eastAsia="Times New Roman"/>
          <w:color w:val="auto"/>
          <w:spacing w:val="0"/>
          <w:position w:val="0"/>
          <w:sz w:val="22"/>
          <w:shd w:fill="auto" w:val="clear"/>
        </w:rPr>
        <w:t xml:space="preserve">, Centers for Diseases Control. Atlanta, 2003;</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______. Public Health Service. Atlanta: U.S. Department of Health and Human Services; Toxicological Profile for Lead. 1999;</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______. </w:t>
      </w:r>
      <w:r>
        <w:rPr>
          <w:rFonts w:ascii="Times New Roman" w:hAnsi="Times New Roman" w:cs="Times New Roman" w:eastAsia="Times New Roman"/>
          <w:b/>
          <w:color w:val="auto"/>
          <w:spacing w:val="0"/>
          <w:position w:val="0"/>
          <w:sz w:val="22"/>
          <w:shd w:fill="auto" w:val="clear"/>
        </w:rPr>
        <w:t xml:space="preserve">Toxicological Profile for Selenium</w:t>
      </w:r>
      <w:r>
        <w:rPr>
          <w:rFonts w:ascii="Times New Roman" w:hAnsi="Times New Roman" w:cs="Times New Roman" w:eastAsia="Times New Roman"/>
          <w:color w:val="auto"/>
          <w:spacing w:val="0"/>
          <w:position w:val="0"/>
          <w:sz w:val="22"/>
          <w:shd w:fill="auto" w:val="clear"/>
        </w:rPr>
        <w:t xml:space="preserve">. Atlanta, GA: Agency for Toxic Substances and Disease Registry; 2003. Available at: </w:t>
      </w:r>
      <w:hyperlink xmlns:r="http://schemas.openxmlformats.org/officeDocument/2006/relationships" r:id="docRId15">
        <w:r>
          <w:rPr>
            <w:rFonts w:ascii="Times New Roman" w:hAnsi="Times New Roman" w:cs="Times New Roman" w:eastAsia="Times New Roman"/>
            <w:color w:val="0000FF"/>
            <w:spacing w:val="0"/>
            <w:position w:val="0"/>
            <w:sz w:val="22"/>
            <w:u w:val="single"/>
            <w:shd w:fill="auto" w:val="clear"/>
          </w:rPr>
          <w:t xml:space="preserve">https://www.atsdr.cdc.gov/ToxProfiles/tp.asp?id=153</w:t>
        </w:r>
        <w:r>
          <w:rPr>
            <w:rFonts w:ascii="Times New Roman" w:hAnsi="Times New Roman" w:cs="Times New Roman" w:eastAsia="Times New Roman"/>
            <w:color w:val="0000FF"/>
            <w:spacing w:val="0"/>
            <w:position w:val="0"/>
            <w:sz w:val="22"/>
            <w:u w:val="single"/>
            <w:shd w:fill="auto" w:val="clear"/>
          </w:rPr>
          <w:t xml:space="preserve"> HYPERLINK "https://www.atsdr.cdc.gov/ToxProfiles/tp.asp?id=153&amp;tid=28"</w:t>
        </w:r>
        <w:r>
          <w:rPr>
            <w:rFonts w:ascii="Times New Roman" w:hAnsi="Times New Roman" w:cs="Times New Roman" w:eastAsia="Times New Roman"/>
            <w:color w:val="0000FF"/>
            <w:spacing w:val="0"/>
            <w:position w:val="0"/>
            <w:sz w:val="22"/>
            <w:u w:val="single"/>
            <w:shd w:fill="auto" w:val="clear"/>
          </w:rPr>
          <w:t xml:space="preserve">&amp;</w:t>
        </w:r>
        <w:r>
          <w:rPr>
            <w:rFonts w:ascii="Times New Roman" w:hAnsi="Times New Roman" w:cs="Times New Roman" w:eastAsia="Times New Roman"/>
            <w:color w:val="0000FF"/>
            <w:spacing w:val="0"/>
            <w:position w:val="0"/>
            <w:sz w:val="22"/>
            <w:u w:val="single"/>
            <w:shd w:fill="auto" w:val="clear"/>
          </w:rPr>
          <w:t xml:space="preserve"> HYPERLINK "https://www.atsdr.cdc.gov/ToxProfiles/tp.asp?id=153&amp;tid=28"</w:t>
        </w:r>
        <w:r>
          <w:rPr>
            <w:rFonts w:ascii="Times New Roman" w:hAnsi="Times New Roman" w:cs="Times New Roman" w:eastAsia="Times New Roman"/>
            <w:color w:val="0000FF"/>
            <w:spacing w:val="0"/>
            <w:position w:val="0"/>
            <w:sz w:val="22"/>
            <w:u w:val="single"/>
            <w:shd w:fill="auto" w:val="clear"/>
          </w:rPr>
          <w:t xml:space="preserve">tid=28</w:t>
        </w:r>
      </w:hyperlink>
      <w:r>
        <w:rPr>
          <w:rFonts w:ascii="Times New Roman" w:hAnsi="Times New Roman" w:cs="Times New Roman" w:eastAsia="Times New Roman"/>
          <w:color w:val="auto"/>
          <w:spacing w:val="0"/>
          <w:position w:val="0"/>
          <w:sz w:val="22"/>
          <w:shd w:fill="auto" w:val="clear"/>
        </w:rPr>
        <w:t xml:space="preserve">;</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______. </w:t>
      </w:r>
      <w:r>
        <w:rPr>
          <w:rFonts w:ascii="Times New Roman" w:hAnsi="Times New Roman" w:cs="Times New Roman" w:eastAsia="Times New Roman"/>
          <w:b/>
          <w:color w:val="auto"/>
          <w:spacing w:val="0"/>
          <w:position w:val="0"/>
          <w:sz w:val="22"/>
          <w:shd w:fill="auto" w:val="clear"/>
        </w:rPr>
        <w:t xml:space="preserve">Toxicological Profile for Copper</w:t>
      </w:r>
      <w:r>
        <w:rPr>
          <w:rFonts w:ascii="Times New Roman" w:hAnsi="Times New Roman" w:cs="Times New Roman" w:eastAsia="Times New Roman"/>
          <w:color w:val="auto"/>
          <w:spacing w:val="0"/>
          <w:position w:val="0"/>
          <w:sz w:val="22"/>
          <w:shd w:fill="auto" w:val="clear"/>
        </w:rPr>
        <w:t xml:space="preserve">. Atlanta, GA: Agency for Toxic Substances and Disease Registry; 2004. Available at: </w:t>
      </w:r>
      <w:hyperlink xmlns:r="http://schemas.openxmlformats.org/officeDocument/2006/relationships" r:id="docRId16">
        <w:r>
          <w:rPr>
            <w:rFonts w:ascii="Times New Roman" w:hAnsi="Times New Roman" w:cs="Times New Roman" w:eastAsia="Times New Roman"/>
            <w:color w:val="0000FF"/>
            <w:spacing w:val="0"/>
            <w:position w:val="0"/>
            <w:sz w:val="22"/>
            <w:u w:val="single"/>
            <w:shd w:fill="auto" w:val="clear"/>
          </w:rPr>
          <w:t xml:space="preserve">https://www.atsdr.cdc.gov/ToxProfiles/tp.asp?id=206</w:t>
        </w:r>
        <w:r>
          <w:rPr>
            <w:rFonts w:ascii="Times New Roman" w:hAnsi="Times New Roman" w:cs="Times New Roman" w:eastAsia="Times New Roman"/>
            <w:color w:val="0000FF"/>
            <w:spacing w:val="0"/>
            <w:position w:val="0"/>
            <w:sz w:val="22"/>
            <w:u w:val="single"/>
            <w:shd w:fill="auto" w:val="clear"/>
          </w:rPr>
          <w:t xml:space="preserve"> HYPERLINK "https://www.atsdr.cdc.gov/ToxProfiles/tp.asp?id=206&amp;tid=37"</w:t>
        </w:r>
        <w:r>
          <w:rPr>
            <w:rFonts w:ascii="Times New Roman" w:hAnsi="Times New Roman" w:cs="Times New Roman" w:eastAsia="Times New Roman"/>
            <w:color w:val="0000FF"/>
            <w:spacing w:val="0"/>
            <w:position w:val="0"/>
            <w:sz w:val="22"/>
            <w:u w:val="single"/>
            <w:shd w:fill="auto" w:val="clear"/>
          </w:rPr>
          <w:t xml:space="preserve">&amp;</w:t>
        </w:r>
        <w:r>
          <w:rPr>
            <w:rFonts w:ascii="Times New Roman" w:hAnsi="Times New Roman" w:cs="Times New Roman" w:eastAsia="Times New Roman"/>
            <w:color w:val="0000FF"/>
            <w:spacing w:val="0"/>
            <w:position w:val="0"/>
            <w:sz w:val="22"/>
            <w:u w:val="single"/>
            <w:shd w:fill="auto" w:val="clear"/>
          </w:rPr>
          <w:t xml:space="preserve"> HYPERLINK "https://www.atsdr.cdc.gov/ToxProfiles/tp.asp?id=206&amp;tid=37"</w:t>
        </w:r>
        <w:r>
          <w:rPr>
            <w:rFonts w:ascii="Times New Roman" w:hAnsi="Times New Roman" w:cs="Times New Roman" w:eastAsia="Times New Roman"/>
            <w:color w:val="0000FF"/>
            <w:spacing w:val="0"/>
            <w:position w:val="0"/>
            <w:sz w:val="22"/>
            <w:u w:val="single"/>
            <w:shd w:fill="auto" w:val="clear"/>
          </w:rPr>
          <w:t xml:space="preserve">tid=37</w:t>
        </w:r>
      </w:hyperlink>
      <w:r>
        <w:rPr>
          <w:rFonts w:ascii="Times New Roman" w:hAnsi="Times New Roman" w:cs="Times New Roman" w:eastAsia="Times New Roman"/>
          <w:color w:val="auto"/>
          <w:spacing w:val="0"/>
          <w:position w:val="0"/>
          <w:sz w:val="22"/>
          <w:shd w:fill="auto" w:val="clear"/>
        </w:rPr>
        <w:t xml:space="preserve">;</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______. Agency for Toxic Substances and Disease Registry. </w:t>
      </w:r>
      <w:r>
        <w:rPr>
          <w:rFonts w:ascii="Times New Roman" w:hAnsi="Times New Roman" w:cs="Times New Roman" w:eastAsia="Times New Roman"/>
          <w:b/>
          <w:color w:val="auto"/>
          <w:spacing w:val="0"/>
          <w:position w:val="0"/>
          <w:sz w:val="22"/>
          <w:shd w:fill="auto" w:val="clear"/>
        </w:rPr>
        <w:t xml:space="preserve">Toxicological profile for nickel</w:t>
      </w:r>
      <w:r>
        <w:rPr>
          <w:rFonts w:ascii="Times New Roman" w:hAnsi="Times New Roman" w:cs="Times New Roman" w:eastAsia="Times New Roman"/>
          <w:color w:val="auto"/>
          <w:spacing w:val="0"/>
          <w:position w:val="0"/>
          <w:sz w:val="22"/>
          <w:shd w:fill="auto" w:val="clear"/>
        </w:rPr>
        <w:t xml:space="preserve">. US Public Health Service. Atlanta. USA, 351 p, 2005;</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______. Toxicological Profile for Barium and Compounds. Atlanta, GA: </w:t>
      </w:r>
      <w:r>
        <w:rPr>
          <w:rFonts w:ascii="Times New Roman" w:hAnsi="Times New Roman" w:cs="Times New Roman" w:eastAsia="Times New Roman"/>
          <w:b/>
          <w:color w:val="auto"/>
          <w:spacing w:val="0"/>
          <w:position w:val="0"/>
          <w:sz w:val="22"/>
          <w:shd w:fill="auto" w:val="clear"/>
        </w:rPr>
        <w:t xml:space="preserve">Agency for Toxic Substances and Disease Registry</w:t>
      </w:r>
      <w:r>
        <w:rPr>
          <w:rFonts w:ascii="Times New Roman" w:hAnsi="Times New Roman" w:cs="Times New Roman" w:eastAsia="Times New Roman"/>
          <w:color w:val="auto"/>
          <w:spacing w:val="0"/>
          <w:position w:val="0"/>
          <w:sz w:val="22"/>
          <w:shd w:fill="auto" w:val="clear"/>
        </w:rPr>
        <w:t xml:space="preserve">; 2007. Available at: </w:t>
      </w:r>
      <w:hyperlink xmlns:r="http://schemas.openxmlformats.org/officeDocument/2006/relationships" r:id="docRId17">
        <w:r>
          <w:rPr>
            <w:rFonts w:ascii="Times New Roman" w:hAnsi="Times New Roman" w:cs="Times New Roman" w:eastAsia="Times New Roman"/>
            <w:color w:val="0000FF"/>
            <w:spacing w:val="0"/>
            <w:position w:val="0"/>
            <w:sz w:val="22"/>
            <w:u w:val="single"/>
            <w:shd w:fill="auto" w:val="clear"/>
          </w:rPr>
          <w:t xml:space="preserve">https://www.atsdr.cdc.gov/toxprofiles/TP.asp?id=327</w:t>
        </w:r>
        <w:r>
          <w:rPr>
            <w:rFonts w:ascii="Times New Roman" w:hAnsi="Times New Roman" w:cs="Times New Roman" w:eastAsia="Times New Roman"/>
            <w:color w:val="0000FF"/>
            <w:spacing w:val="0"/>
            <w:position w:val="0"/>
            <w:sz w:val="22"/>
            <w:u w:val="single"/>
            <w:shd w:fill="auto" w:val="clear"/>
          </w:rPr>
          <w:t xml:space="preserve"> HYPERLINK "https://www.atsdr.cdc.gov/toxprofiles/TP.asp?id=327&amp;tid=57"</w:t>
        </w:r>
        <w:r>
          <w:rPr>
            <w:rFonts w:ascii="Times New Roman" w:hAnsi="Times New Roman" w:cs="Times New Roman" w:eastAsia="Times New Roman"/>
            <w:color w:val="0000FF"/>
            <w:spacing w:val="0"/>
            <w:position w:val="0"/>
            <w:sz w:val="22"/>
            <w:u w:val="single"/>
            <w:shd w:fill="auto" w:val="clear"/>
          </w:rPr>
          <w:t xml:space="preserve">&amp;</w:t>
        </w:r>
        <w:r>
          <w:rPr>
            <w:rFonts w:ascii="Times New Roman" w:hAnsi="Times New Roman" w:cs="Times New Roman" w:eastAsia="Times New Roman"/>
            <w:color w:val="0000FF"/>
            <w:spacing w:val="0"/>
            <w:position w:val="0"/>
            <w:sz w:val="22"/>
            <w:u w:val="single"/>
            <w:shd w:fill="auto" w:val="clear"/>
          </w:rPr>
          <w:t xml:space="preserve"> HYPERLINK "https://www.atsdr.cdc.gov/toxprofiles/TP.asp?id=327&amp;tid=57"</w:t>
        </w:r>
        <w:r>
          <w:rPr>
            <w:rFonts w:ascii="Times New Roman" w:hAnsi="Times New Roman" w:cs="Times New Roman" w:eastAsia="Times New Roman"/>
            <w:color w:val="0000FF"/>
            <w:spacing w:val="0"/>
            <w:position w:val="0"/>
            <w:sz w:val="22"/>
            <w:u w:val="single"/>
            <w:shd w:fill="auto" w:val="clear"/>
          </w:rPr>
          <w:t xml:space="preserve">tid=57</w:t>
        </w:r>
      </w:hyperlink>
      <w:r>
        <w:rPr>
          <w:rFonts w:ascii="Times New Roman" w:hAnsi="Times New Roman" w:cs="Times New Roman" w:eastAsia="Times New Roman"/>
          <w:color w:val="auto"/>
          <w:spacing w:val="0"/>
          <w:position w:val="0"/>
          <w:sz w:val="22"/>
          <w:shd w:fill="auto" w:val="clear"/>
        </w:rPr>
        <w:t xml:space="preserve">;</w:t>
      </w:r>
    </w:p>
    <w:p>
      <w:pPr>
        <w:spacing w:before="120" w:after="120" w:line="240"/>
        <w:ind w:right="0" w:left="709" w:hanging="709"/>
        <w:jc w:val="both"/>
        <w:rPr>
          <w:rFonts w:ascii="Times New Roman" w:hAnsi="Times New Roman" w:cs="Times New Roman" w:eastAsia="Times New Roman"/>
          <w:color w:val="0000FF"/>
          <w:spacing w:val="0"/>
          <w:position w:val="0"/>
          <w:sz w:val="22"/>
          <w:u w:val="single"/>
          <w:shd w:fill="auto" w:val="clear"/>
        </w:rPr>
      </w:pPr>
      <w:r>
        <w:rPr>
          <w:rFonts w:ascii="Times New Roman" w:hAnsi="Times New Roman" w:cs="Times New Roman" w:eastAsia="Times New Roman"/>
          <w:color w:val="auto"/>
          <w:spacing w:val="0"/>
          <w:position w:val="0"/>
          <w:sz w:val="22"/>
          <w:shd w:fill="auto" w:val="clear"/>
        </w:rPr>
        <w:t xml:space="preserve">______. </w:t>
      </w:r>
      <w:r>
        <w:rPr>
          <w:rFonts w:ascii="Times New Roman" w:hAnsi="Times New Roman" w:cs="Times New Roman" w:eastAsia="Times New Roman"/>
          <w:b/>
          <w:color w:val="auto"/>
          <w:spacing w:val="0"/>
          <w:position w:val="0"/>
          <w:sz w:val="22"/>
          <w:shd w:fill="auto" w:val="clear"/>
        </w:rPr>
        <w:t xml:space="preserve">Minimal Risk Levels for Hazardous Substances</w:t>
      </w:r>
      <w:r>
        <w:rPr>
          <w:rFonts w:ascii="Times New Roman" w:hAnsi="Times New Roman" w:cs="Times New Roman" w:eastAsia="Times New Roman"/>
          <w:color w:val="auto"/>
          <w:spacing w:val="0"/>
          <w:position w:val="0"/>
          <w:sz w:val="22"/>
          <w:shd w:fill="auto" w:val="clear"/>
        </w:rPr>
        <w:t xml:space="preserve"> (MRLs), 2010; Available from: </w:t>
      </w:r>
      <w:hyperlink xmlns:r="http://schemas.openxmlformats.org/officeDocument/2006/relationships" r:id="docRId18">
        <w:r>
          <w:rPr>
            <w:rFonts w:ascii="Times New Roman" w:hAnsi="Times New Roman" w:cs="Times New Roman" w:eastAsia="Times New Roman"/>
            <w:color w:val="0000FF"/>
            <w:spacing w:val="0"/>
            <w:position w:val="0"/>
            <w:sz w:val="22"/>
            <w:u w:val="single"/>
            <w:shd w:fill="auto" w:val="clear"/>
          </w:rPr>
          <w:t xml:space="preserve">http://www.atsdr.cdc.gov/mrls/index.html</w:t>
        </w:r>
      </w:hyperlink>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______. Agency for Toxic Substances and Disease Registry. Services H. </w:t>
      </w:r>
      <w:r>
        <w:rPr>
          <w:rFonts w:ascii="Times New Roman" w:hAnsi="Times New Roman" w:cs="Times New Roman" w:eastAsia="Times New Roman"/>
          <w:b/>
          <w:color w:val="auto"/>
          <w:spacing w:val="0"/>
          <w:position w:val="0"/>
          <w:sz w:val="22"/>
          <w:shd w:fill="auto" w:val="clear"/>
        </w:rPr>
        <w:t xml:space="preserve">Draft Toxicological Profile for Uranium</w:t>
      </w:r>
      <w:r>
        <w:rPr>
          <w:rFonts w:ascii="Times New Roman" w:hAnsi="Times New Roman" w:cs="Times New Roman" w:eastAsia="Times New Roman"/>
          <w:color w:val="auto"/>
          <w:spacing w:val="0"/>
          <w:position w:val="0"/>
          <w:sz w:val="22"/>
          <w:shd w:fill="auto" w:val="clear"/>
        </w:rPr>
        <w:t xml:space="preserve">; May 2011;</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______. </w:t>
      </w:r>
      <w:r>
        <w:rPr>
          <w:rFonts w:ascii="Times New Roman" w:hAnsi="Times New Roman" w:cs="Times New Roman" w:eastAsia="Times New Roman"/>
          <w:b/>
          <w:color w:val="auto"/>
          <w:spacing w:val="0"/>
          <w:position w:val="0"/>
          <w:sz w:val="22"/>
          <w:shd w:fill="auto" w:val="clear"/>
        </w:rPr>
        <w:t xml:space="preserve">Toxicological Profile for Manganese</w:t>
      </w:r>
      <w:r>
        <w:rPr>
          <w:rFonts w:ascii="Times New Roman" w:hAnsi="Times New Roman" w:cs="Times New Roman" w:eastAsia="Times New Roman"/>
          <w:color w:val="auto"/>
          <w:spacing w:val="0"/>
          <w:position w:val="0"/>
          <w:sz w:val="22"/>
          <w:shd w:fill="auto" w:val="clear"/>
        </w:rPr>
        <w:t xml:space="preserve">. Atlanta, GA: Agency for Toxic Substances and Disease Registry; 2012. Available at: </w:t>
      </w:r>
      <w:hyperlink xmlns:r="http://schemas.openxmlformats.org/officeDocument/2006/relationships" r:id="docRId19">
        <w:r>
          <w:rPr>
            <w:rFonts w:ascii="Times New Roman" w:hAnsi="Times New Roman" w:cs="Times New Roman" w:eastAsia="Times New Roman"/>
            <w:color w:val="0000FF"/>
            <w:spacing w:val="0"/>
            <w:position w:val="0"/>
            <w:sz w:val="22"/>
            <w:u w:val="single"/>
            <w:shd w:fill="auto" w:val="clear"/>
          </w:rPr>
          <w:t xml:space="preserve">https://www.atsdr.cdc.gov/ToxProfiles/tp.asp?id=102</w:t>
        </w:r>
        <w:r>
          <w:rPr>
            <w:rFonts w:ascii="Times New Roman" w:hAnsi="Times New Roman" w:cs="Times New Roman" w:eastAsia="Times New Roman"/>
            <w:color w:val="0000FF"/>
            <w:spacing w:val="0"/>
            <w:position w:val="0"/>
            <w:sz w:val="22"/>
            <w:u w:val="single"/>
            <w:shd w:fill="auto" w:val="clear"/>
          </w:rPr>
          <w:t xml:space="preserve"> HYPERLINK "https://www.atsdr.cdc.gov/ToxProfiles/tp.asp?id=102&amp;tid=23"</w:t>
        </w:r>
        <w:r>
          <w:rPr>
            <w:rFonts w:ascii="Times New Roman" w:hAnsi="Times New Roman" w:cs="Times New Roman" w:eastAsia="Times New Roman"/>
            <w:color w:val="0000FF"/>
            <w:spacing w:val="0"/>
            <w:position w:val="0"/>
            <w:sz w:val="22"/>
            <w:u w:val="single"/>
            <w:shd w:fill="auto" w:val="clear"/>
          </w:rPr>
          <w:t xml:space="preserve">&amp;</w:t>
        </w:r>
        <w:r>
          <w:rPr>
            <w:rFonts w:ascii="Times New Roman" w:hAnsi="Times New Roman" w:cs="Times New Roman" w:eastAsia="Times New Roman"/>
            <w:color w:val="0000FF"/>
            <w:spacing w:val="0"/>
            <w:position w:val="0"/>
            <w:sz w:val="22"/>
            <w:u w:val="single"/>
            <w:shd w:fill="auto" w:val="clear"/>
          </w:rPr>
          <w:t xml:space="preserve"> HYPERLINK "https://www.atsdr.cdc.gov/ToxProfiles/tp.asp?id=102&amp;tid=23"</w:t>
        </w:r>
        <w:r>
          <w:rPr>
            <w:rFonts w:ascii="Times New Roman" w:hAnsi="Times New Roman" w:cs="Times New Roman" w:eastAsia="Times New Roman"/>
            <w:color w:val="0000FF"/>
            <w:spacing w:val="0"/>
            <w:position w:val="0"/>
            <w:sz w:val="22"/>
            <w:u w:val="single"/>
            <w:shd w:fill="auto" w:val="clear"/>
          </w:rPr>
          <w:t xml:space="preserve">tid=23</w:t>
        </w:r>
      </w:hyperlink>
      <w:r>
        <w:rPr>
          <w:rFonts w:ascii="Times New Roman" w:hAnsi="Times New Roman" w:cs="Times New Roman" w:eastAsia="Times New Roman"/>
          <w:color w:val="auto"/>
          <w:spacing w:val="0"/>
          <w:position w:val="0"/>
          <w:sz w:val="22"/>
          <w:shd w:fill="auto" w:val="clear"/>
        </w:rPr>
        <w:t xml:space="preserve">;</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______. </w:t>
      </w:r>
      <w:r>
        <w:rPr>
          <w:rFonts w:ascii="Times New Roman" w:hAnsi="Times New Roman" w:cs="Times New Roman" w:eastAsia="Times New Roman"/>
          <w:b/>
          <w:color w:val="auto"/>
          <w:spacing w:val="0"/>
          <w:position w:val="0"/>
          <w:sz w:val="22"/>
          <w:shd w:fill="auto" w:val="clear"/>
        </w:rPr>
        <w:t xml:space="preserve">Toxicological Profile for Uranium</w:t>
      </w:r>
      <w:r>
        <w:rPr>
          <w:rFonts w:ascii="Times New Roman" w:hAnsi="Times New Roman" w:cs="Times New Roman" w:eastAsia="Times New Roman"/>
          <w:color w:val="auto"/>
          <w:spacing w:val="0"/>
          <w:position w:val="0"/>
          <w:sz w:val="22"/>
          <w:shd w:fill="auto" w:val="clear"/>
        </w:rPr>
        <w:t xml:space="preserve">. Atlanta, GA: Agency for Toxic Substances and Disease Registry; 2013. Available at: </w:t>
      </w:r>
      <w:hyperlink xmlns:r="http://schemas.openxmlformats.org/officeDocument/2006/relationships" r:id="docRId20">
        <w:r>
          <w:rPr>
            <w:rFonts w:ascii="Times New Roman" w:hAnsi="Times New Roman" w:cs="Times New Roman" w:eastAsia="Times New Roman"/>
            <w:color w:val="0000FF"/>
            <w:spacing w:val="0"/>
            <w:position w:val="0"/>
            <w:sz w:val="22"/>
            <w:u w:val="single"/>
            <w:shd w:fill="auto" w:val="clear"/>
          </w:rPr>
          <w:t xml:space="preserve">https://www.atsdr.cdc.gov/toxprofiles/TP.asp?id=440</w:t>
        </w:r>
        <w:r>
          <w:rPr>
            <w:rFonts w:ascii="Times New Roman" w:hAnsi="Times New Roman" w:cs="Times New Roman" w:eastAsia="Times New Roman"/>
            <w:color w:val="0000FF"/>
            <w:spacing w:val="0"/>
            <w:position w:val="0"/>
            <w:sz w:val="22"/>
            <w:u w:val="single"/>
            <w:shd w:fill="auto" w:val="clear"/>
          </w:rPr>
          <w:t xml:space="preserve"> HYPERLINK "https://www.atsdr.cdc.gov/toxprofiles/TP.asp?id=440&amp;tid=77"</w:t>
        </w:r>
        <w:r>
          <w:rPr>
            <w:rFonts w:ascii="Times New Roman" w:hAnsi="Times New Roman" w:cs="Times New Roman" w:eastAsia="Times New Roman"/>
            <w:color w:val="0000FF"/>
            <w:spacing w:val="0"/>
            <w:position w:val="0"/>
            <w:sz w:val="22"/>
            <w:u w:val="single"/>
            <w:shd w:fill="auto" w:val="clear"/>
          </w:rPr>
          <w:t xml:space="preserve">&amp;</w:t>
        </w:r>
        <w:r>
          <w:rPr>
            <w:rFonts w:ascii="Times New Roman" w:hAnsi="Times New Roman" w:cs="Times New Roman" w:eastAsia="Times New Roman"/>
            <w:color w:val="0000FF"/>
            <w:spacing w:val="0"/>
            <w:position w:val="0"/>
            <w:sz w:val="22"/>
            <w:u w:val="single"/>
            <w:shd w:fill="auto" w:val="clear"/>
          </w:rPr>
          <w:t xml:space="preserve"> HYPERLINK "https://www.atsdr.cdc.gov/toxprofiles/TP.asp?id=440&amp;tid=77"</w:t>
        </w:r>
        <w:r>
          <w:rPr>
            <w:rFonts w:ascii="Times New Roman" w:hAnsi="Times New Roman" w:cs="Times New Roman" w:eastAsia="Times New Roman"/>
            <w:color w:val="0000FF"/>
            <w:spacing w:val="0"/>
            <w:position w:val="0"/>
            <w:sz w:val="22"/>
            <w:u w:val="single"/>
            <w:shd w:fill="auto" w:val="clear"/>
          </w:rPr>
          <w:t xml:space="preserve">tid=77</w:t>
        </w:r>
      </w:hyperlink>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ALLOWAY, B. J. </w:t>
      </w:r>
      <w:r>
        <w:rPr>
          <w:rFonts w:ascii="Times New Roman" w:hAnsi="Times New Roman" w:cs="Times New Roman" w:eastAsia="Times New Roman"/>
          <w:b/>
          <w:color w:val="auto"/>
          <w:spacing w:val="0"/>
          <w:position w:val="0"/>
          <w:sz w:val="22"/>
          <w:shd w:fill="auto" w:val="clear"/>
        </w:rPr>
        <w:t xml:space="preserve">Heavy metals in soils: trace metals and metalloids in soils and their bioavailability</w:t>
      </w:r>
      <w:r>
        <w:rPr>
          <w:rFonts w:ascii="Times New Roman" w:hAnsi="Times New Roman" w:cs="Times New Roman" w:eastAsia="Times New Roman"/>
          <w:color w:val="auto"/>
          <w:spacing w:val="0"/>
          <w:position w:val="0"/>
          <w:sz w:val="22"/>
          <w:shd w:fill="auto" w:val="clear"/>
        </w:rPr>
        <w:t xml:space="preserve">. Ed. Springer Science &amp; Business Media, p. 466, 2012;</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AMORIM, E. P. </w:t>
      </w:r>
      <w:r>
        <w:rPr>
          <w:rFonts w:ascii="Times New Roman" w:hAnsi="Times New Roman" w:cs="Times New Roman" w:eastAsia="Times New Roman"/>
          <w:b/>
          <w:color w:val="auto"/>
          <w:spacing w:val="0"/>
          <w:position w:val="0"/>
          <w:sz w:val="22"/>
          <w:shd w:fill="auto" w:val="clear"/>
        </w:rPr>
        <w:t xml:space="preserve">Avaliação da concentração de metais e outros elementos de interesse em amostras de sedimentos dos estuários de Santos/São Vicente e Cananéia, Estado de São Paulo, Brasil.</w:t>
      </w:r>
      <w:r>
        <w:rPr>
          <w:rFonts w:ascii="Times New Roman" w:hAnsi="Times New Roman" w:cs="Times New Roman" w:eastAsia="Times New Roman"/>
          <w:color w:val="auto"/>
          <w:spacing w:val="0"/>
          <w:position w:val="0"/>
          <w:sz w:val="22"/>
          <w:shd w:fill="auto" w:val="clear"/>
        </w:rPr>
        <w:t xml:space="preserve"> Instituto de Pesquisas Energética e Nucleares, São Paulo, 2012;</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APETI, D. A.; HARTWELL, I. S. Baseline assessment of heavy metal concentrations in surficial sediment from Kachemak Bay, Alaska. </w:t>
      </w:r>
      <w:r>
        <w:rPr>
          <w:rFonts w:ascii="Times New Roman" w:hAnsi="Times New Roman" w:cs="Times New Roman" w:eastAsia="Times New Roman"/>
          <w:b/>
          <w:color w:val="auto"/>
          <w:spacing w:val="0"/>
          <w:position w:val="0"/>
          <w:sz w:val="22"/>
          <w:shd w:fill="auto" w:val="clear"/>
        </w:rPr>
        <w:t xml:space="preserve">Environmental Monitoring and Assessment</w:t>
      </w:r>
      <w:r>
        <w:rPr>
          <w:rFonts w:ascii="Times New Roman" w:hAnsi="Times New Roman" w:cs="Times New Roman" w:eastAsia="Times New Roman"/>
          <w:color w:val="auto"/>
          <w:spacing w:val="0"/>
          <w:position w:val="0"/>
          <w:sz w:val="22"/>
          <w:shd w:fill="auto" w:val="clear"/>
        </w:rPr>
        <w:t xml:space="preserve">. v. 187, n. 1, p. 4106, 2015;</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ARNOLD, W. R.; COTSIFAS, J. S.; SMITH, D. S.; Le PAGE, S.; GRUENTHAL, K. M. A comparison of the copper sensitivity of two economically important saltwater mussel species and a review of previously reported copper toxicity data for mussels: importante implications for determining future ambient copper saltwater criteria in the USA. </w:t>
      </w:r>
      <w:r>
        <w:rPr>
          <w:rFonts w:ascii="Times New Roman" w:hAnsi="Times New Roman" w:cs="Times New Roman" w:eastAsia="Times New Roman"/>
          <w:b/>
          <w:color w:val="auto"/>
          <w:spacing w:val="0"/>
          <w:position w:val="0"/>
          <w:sz w:val="22"/>
          <w:shd w:fill="auto" w:val="clear"/>
        </w:rPr>
        <w:t xml:space="preserve">Environmental Toxicology</w:t>
      </w:r>
      <w:r>
        <w:rPr>
          <w:rFonts w:ascii="Times New Roman" w:hAnsi="Times New Roman" w:cs="Times New Roman" w:eastAsia="Times New Roman"/>
          <w:color w:val="auto"/>
          <w:spacing w:val="0"/>
          <w:position w:val="0"/>
          <w:sz w:val="22"/>
          <w:shd w:fill="auto" w:val="clear"/>
        </w:rPr>
        <w:t xml:space="preserve">. v. 24, p. 618-628, 2009. Doi: 10.1002/tox.20452.</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BARABASZ, W.; ALBINSKA, D.; JASKOWSKA, M.; LIPIEC, J. Ecotoxicology of Aluminium. </w:t>
      </w:r>
      <w:r>
        <w:rPr>
          <w:rFonts w:ascii="Times New Roman" w:hAnsi="Times New Roman" w:cs="Times New Roman" w:eastAsia="Times New Roman"/>
          <w:b/>
          <w:color w:val="auto"/>
          <w:spacing w:val="0"/>
          <w:position w:val="0"/>
          <w:sz w:val="22"/>
          <w:shd w:fill="auto" w:val="clear"/>
        </w:rPr>
        <w:t xml:space="preserve">Polish Journal of Environmental Studies</w:t>
      </w:r>
      <w:r>
        <w:rPr>
          <w:rFonts w:ascii="Times New Roman" w:hAnsi="Times New Roman" w:cs="Times New Roman" w:eastAsia="Times New Roman"/>
          <w:color w:val="auto"/>
          <w:spacing w:val="0"/>
          <w:position w:val="0"/>
          <w:sz w:val="22"/>
          <w:shd w:fill="auto" w:val="clear"/>
        </w:rPr>
        <w:t xml:space="preserve">. v. 11, n. 3. p. 199-203, 2002; </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BARCELLOS, C</w:t>
      </w:r>
      <w:r>
        <w:rPr>
          <w:rFonts w:ascii="Times New Roman" w:hAnsi="Times New Roman" w:cs="Times New Roman" w:eastAsia="Times New Roman"/>
          <w:b/>
          <w:color w:val="auto"/>
          <w:spacing w:val="0"/>
          <w:position w:val="0"/>
          <w:sz w:val="22"/>
          <w:shd w:fill="auto" w:val="clear"/>
        </w:rPr>
        <w:t xml:space="preserve">. Geodinâmica de Cádmio e Zinco na Baía de Sepetiba</w:t>
      </w:r>
      <w:r>
        <w:rPr>
          <w:rFonts w:ascii="Times New Roman" w:hAnsi="Times New Roman" w:cs="Times New Roman" w:eastAsia="Times New Roman"/>
          <w:color w:val="auto"/>
          <w:spacing w:val="0"/>
          <w:position w:val="0"/>
          <w:sz w:val="22"/>
          <w:shd w:fill="auto" w:val="clear"/>
        </w:rPr>
        <w:t xml:space="preserve">. UFF, Niterói. 1995;</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BASAHAM, A. S.; EL-SAYED, M. A. Distribution and Phase Association of Some Major and Trace Elements in the Arabian Gulf Sediments. </w:t>
      </w:r>
      <w:r>
        <w:rPr>
          <w:rFonts w:ascii="Times New Roman" w:hAnsi="Times New Roman" w:cs="Times New Roman" w:eastAsia="Times New Roman"/>
          <w:b/>
          <w:color w:val="auto"/>
          <w:spacing w:val="0"/>
          <w:position w:val="0"/>
          <w:sz w:val="22"/>
          <w:shd w:fill="auto" w:val="clear"/>
        </w:rPr>
        <w:t xml:space="preserve">Estuarine, Coastal and Shelf</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b/>
          <w:color w:val="auto"/>
          <w:spacing w:val="0"/>
          <w:position w:val="0"/>
          <w:sz w:val="22"/>
          <w:shd w:fill="auto" w:val="clear"/>
        </w:rPr>
        <w:t xml:space="preserve">Science</w:t>
      </w:r>
      <w:r>
        <w:rPr>
          <w:rFonts w:ascii="Times New Roman" w:hAnsi="Times New Roman" w:cs="Times New Roman" w:eastAsia="Times New Roman"/>
          <w:color w:val="auto"/>
          <w:spacing w:val="0"/>
          <w:position w:val="0"/>
          <w:sz w:val="22"/>
          <w:shd w:fill="auto" w:val="clear"/>
        </w:rPr>
        <w:t xml:space="preserve">. v. 46, n. 2, p. 185-194, 1997; </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BEGUM, A., HARIKRISHNA, S., KHAN, I. Analysis of Heavy metals in Water, Sediments and Fish samples of Madivala Lakes of Bangalore, Karnataka. </w:t>
      </w:r>
      <w:r>
        <w:rPr>
          <w:rFonts w:ascii="Times New Roman" w:hAnsi="Times New Roman" w:cs="Times New Roman" w:eastAsia="Times New Roman"/>
          <w:b/>
          <w:color w:val="auto"/>
          <w:spacing w:val="0"/>
          <w:position w:val="0"/>
          <w:sz w:val="22"/>
          <w:shd w:fill="auto" w:val="clear"/>
        </w:rPr>
        <w:t xml:space="preserve">International Journal of ChemTech Research</w:t>
      </w:r>
      <w:r>
        <w:rPr>
          <w:rFonts w:ascii="Times New Roman" w:hAnsi="Times New Roman" w:cs="Times New Roman" w:eastAsia="Times New Roman"/>
          <w:color w:val="auto"/>
          <w:spacing w:val="0"/>
          <w:position w:val="0"/>
          <w:sz w:val="22"/>
          <w:shd w:fill="auto" w:val="clear"/>
        </w:rPr>
        <w:t xml:space="preserve">. v.1, nº 2, p. 245-249, 2009;</w:t>
      </w:r>
    </w:p>
    <w:p>
      <w:pPr>
        <w:spacing w:before="120" w:after="120" w:line="24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BEYERSMANN, D.; HARTWIG, A. Carcinogenic metal compounds: recent insight into molecular and cellular mechanisms. </w:t>
      </w:r>
      <w:r>
        <w:rPr>
          <w:rFonts w:ascii="Times New Roman" w:hAnsi="Times New Roman" w:cs="Times New Roman" w:eastAsia="Times New Roman"/>
          <w:b/>
          <w:color w:val="auto"/>
          <w:spacing w:val="0"/>
          <w:position w:val="0"/>
          <w:sz w:val="22"/>
          <w:shd w:fill="auto" w:val="clear"/>
        </w:rPr>
        <w:t xml:space="preserve">Archives of Toxicology</w:t>
      </w:r>
      <w:r>
        <w:rPr>
          <w:rFonts w:ascii="Times New Roman" w:hAnsi="Times New Roman" w:cs="Times New Roman" w:eastAsia="Times New Roman"/>
          <w:color w:val="auto"/>
          <w:spacing w:val="0"/>
          <w:position w:val="0"/>
          <w:sz w:val="22"/>
          <w:shd w:fill="auto" w:val="clear"/>
        </w:rPr>
        <w:t xml:space="preserve">, v. 82, n. 8, p. 493, 2008;</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BEZAK-MAZUR, E.; WIDIAK, M.; CIUPA, T. A speciation analysis of aluminium in the River Silnica. Polish Journal of Environmental Studies, v. 10, n. 4, p. 263-268, 2001;</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BJORKLUND, G.; ALBERT, C. O.; CHIRUMBOLO, S.; SELINUS, O.; AASETH, J. Recent aspects of uranium toxicology in medical geology. Environmental Reserch. v. 156, p. 526-533, 2017;</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BRASIL_Agência Nacional de Vigilância Sanitária (ANVISA). Resolução da Diretoria Colegiada-RDC Nº 166. 2017;</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_______. Conselho Nacional do Meio Ambiente (CONAMA). Resolução nº 454, de 01 de novembro de 2012;</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_______. Conselho Nacional do Meio Ambiente (CONAMA). Resolução n° 357, de 17 de março de 2005;</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BURDEN, F. K.; MCKELVIE, I.; FORSTNER, U.; GUENTHER, A. </w:t>
      </w:r>
      <w:r>
        <w:rPr>
          <w:rFonts w:ascii="Times New Roman" w:hAnsi="Times New Roman" w:cs="Times New Roman" w:eastAsia="Times New Roman"/>
          <w:b/>
          <w:color w:val="auto"/>
          <w:spacing w:val="0"/>
          <w:position w:val="0"/>
          <w:sz w:val="22"/>
          <w:shd w:fill="auto" w:val="clear"/>
        </w:rPr>
        <w:t xml:space="preserve">Environmental Monitoring Handbook</w:t>
      </w:r>
      <w:r>
        <w:rPr>
          <w:rFonts w:ascii="Times New Roman" w:hAnsi="Times New Roman" w:cs="Times New Roman" w:eastAsia="Times New Roman"/>
          <w:color w:val="auto"/>
          <w:spacing w:val="0"/>
          <w:position w:val="0"/>
          <w:sz w:val="22"/>
          <w:shd w:fill="auto" w:val="clear"/>
        </w:rPr>
        <w:t xml:space="preserve">. eBook, Ed. McGraw-Hill Company. 2002; </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BURUAEM, L. M.; HORTELLANI, M. A.; SARKIS, J. E.; COSTA-LOTUFO, L.  V.; ABESSA, D. M. S. Contamination of port zone sediments by metals from Large Marine Ecosystems of Brazil. </w:t>
      </w:r>
      <w:r>
        <w:rPr>
          <w:rFonts w:ascii="Times New Roman" w:hAnsi="Times New Roman" w:cs="Times New Roman" w:eastAsia="Times New Roman"/>
          <w:b/>
          <w:color w:val="auto"/>
          <w:spacing w:val="0"/>
          <w:position w:val="0"/>
          <w:sz w:val="22"/>
          <w:shd w:fill="auto" w:val="clear"/>
        </w:rPr>
        <w:t xml:space="preserve">Marine Pollution Bulletin</w:t>
      </w:r>
      <w:r>
        <w:rPr>
          <w:rFonts w:ascii="Times New Roman" w:hAnsi="Times New Roman" w:cs="Times New Roman" w:eastAsia="Times New Roman"/>
          <w:color w:val="auto"/>
          <w:spacing w:val="0"/>
          <w:position w:val="0"/>
          <w:sz w:val="22"/>
          <w:shd w:fill="auto" w:val="clear"/>
        </w:rPr>
        <w:t xml:space="preserve">, v. 64, n. 3, p. 479-488, 2012;</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CARMO, C. A.; ABESSA, D. M. S.; NETO, J. G. M. Metais em águas, sedimentos e peixes coletados no estuário de São Vicente-SP, Brasil. </w:t>
      </w:r>
      <w:r>
        <w:rPr>
          <w:rFonts w:ascii="Times New Roman" w:hAnsi="Times New Roman" w:cs="Times New Roman" w:eastAsia="Times New Roman"/>
          <w:b/>
          <w:color w:val="auto"/>
          <w:spacing w:val="0"/>
          <w:position w:val="0"/>
          <w:sz w:val="22"/>
          <w:shd w:fill="auto" w:val="clear"/>
        </w:rPr>
        <w:t xml:space="preserve">O mundo da Saúde</w:t>
      </w:r>
      <w:r>
        <w:rPr>
          <w:rFonts w:ascii="Times New Roman" w:hAnsi="Times New Roman" w:cs="Times New Roman" w:eastAsia="Times New Roman"/>
          <w:color w:val="auto"/>
          <w:spacing w:val="0"/>
          <w:position w:val="0"/>
          <w:sz w:val="22"/>
          <w:shd w:fill="auto" w:val="clear"/>
        </w:rPr>
        <w:t xml:space="preserve">. v. 35, n. 1, p. 64-70, 2011;</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CARVALHO, E. V.; LACERDA, L. D. Heavy metals in the Guanabara Bay biota: why such low concentrations? </w:t>
      </w:r>
      <w:r>
        <w:rPr>
          <w:rFonts w:ascii="Times New Roman" w:hAnsi="Times New Roman" w:cs="Times New Roman" w:eastAsia="Times New Roman"/>
          <w:b/>
          <w:color w:val="auto"/>
          <w:spacing w:val="0"/>
          <w:position w:val="0"/>
          <w:sz w:val="22"/>
          <w:shd w:fill="auto" w:val="clear"/>
        </w:rPr>
        <w:t xml:space="preserve">Ciência e Cultura</w:t>
      </w:r>
      <w:r>
        <w:rPr>
          <w:rFonts w:ascii="Times New Roman" w:hAnsi="Times New Roman" w:cs="Times New Roman" w:eastAsia="Times New Roman"/>
          <w:color w:val="auto"/>
          <w:spacing w:val="0"/>
          <w:position w:val="0"/>
          <w:sz w:val="22"/>
          <w:shd w:fill="auto" w:val="clear"/>
        </w:rPr>
        <w:t xml:space="preserve">. v. 44, p. 184, 1992; </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CENTENO, J. A.; GRAY, M. A.; MULLICK, F. G.; TCHOUNWOU, P. B.; TSENG, C. </w:t>
      </w:r>
      <w:r>
        <w:rPr>
          <w:rFonts w:ascii="Times New Roman" w:hAnsi="Times New Roman" w:cs="Times New Roman" w:eastAsia="Times New Roman"/>
          <w:b/>
          <w:color w:val="auto"/>
          <w:spacing w:val="0"/>
          <w:position w:val="0"/>
          <w:sz w:val="22"/>
          <w:shd w:fill="auto" w:val="clear"/>
        </w:rPr>
        <w:t xml:space="preserve">Arsenic in drinking water and health issues.</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i/>
          <w:color w:val="auto"/>
          <w:spacing w:val="0"/>
          <w:position w:val="0"/>
          <w:sz w:val="22"/>
          <w:shd w:fill="auto" w:val="clear"/>
        </w:rPr>
        <w:t xml:space="preserve">In:</w:t>
      </w:r>
      <w:r>
        <w:rPr>
          <w:rFonts w:ascii="Times New Roman" w:hAnsi="Times New Roman" w:cs="Times New Roman" w:eastAsia="Times New Roman"/>
          <w:color w:val="auto"/>
          <w:spacing w:val="0"/>
          <w:position w:val="0"/>
          <w:sz w:val="22"/>
          <w:shd w:fill="auto" w:val="clear"/>
        </w:rPr>
        <w:t xml:space="preserve"> MOORE, T. A.; BLACK, A.; CENTENO, J. A.; HARDING, J. S.; TRUMM, D. A. Metal Contaminants in New Zealand. New Zealand: Resolutionz Press; p. 195-219, 2005.;</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CÉSAR, A. </w:t>
      </w:r>
      <w:r>
        <w:rPr>
          <w:rFonts w:ascii="Times New Roman" w:hAnsi="Times New Roman" w:cs="Times New Roman" w:eastAsia="Times New Roman"/>
          <w:b/>
          <w:color w:val="auto"/>
          <w:spacing w:val="0"/>
          <w:position w:val="0"/>
          <w:sz w:val="22"/>
          <w:shd w:fill="auto" w:val="clear"/>
        </w:rPr>
        <w:t xml:space="preserve">Análisis ecotoxicológico integrado de la contaminación marina en los sedimentos de la costa de Murcia: el caso de Portmán, Sudeste-España</w:t>
      </w:r>
      <w:r>
        <w:rPr>
          <w:rFonts w:ascii="Times New Roman" w:hAnsi="Times New Roman" w:cs="Times New Roman" w:eastAsia="Times New Roman"/>
          <w:color w:val="auto"/>
          <w:spacing w:val="0"/>
          <w:position w:val="0"/>
          <w:sz w:val="22"/>
          <w:shd w:fill="auto" w:val="clear"/>
        </w:rPr>
        <w:t xml:space="preserve">. Universidad de Murcia, Espanha, 2003;</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CHAKRABORTI, D.; SENGUPTA, M. K.; RAHMAN, M. M.; et al. Groundwater arsenic contamination and its health effects in the Ganga-Meghna-Brahmaputra plain. </w:t>
      </w:r>
      <w:r>
        <w:rPr>
          <w:rFonts w:ascii="Times New Roman" w:hAnsi="Times New Roman" w:cs="Times New Roman" w:eastAsia="Times New Roman"/>
          <w:b/>
          <w:color w:val="auto"/>
          <w:spacing w:val="0"/>
          <w:position w:val="0"/>
          <w:sz w:val="22"/>
          <w:shd w:fill="auto" w:val="clear"/>
        </w:rPr>
        <w:t xml:space="preserve">Journal of Environmental Monitoring</w:t>
      </w:r>
      <w:r>
        <w:rPr>
          <w:rFonts w:ascii="Times New Roman" w:hAnsi="Times New Roman" w:cs="Times New Roman" w:eastAsia="Times New Roman"/>
          <w:color w:val="auto"/>
          <w:spacing w:val="0"/>
          <w:position w:val="0"/>
          <w:sz w:val="22"/>
          <w:shd w:fill="auto" w:val="clear"/>
        </w:rPr>
        <w:t xml:space="preserve">, v. 6, n. 6, p. 74, 2004;</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CHEN, J.; LIU, G.; KANG, Y.; WU, B.; et al. Coal utilization in China: environmental impacts and human health. </w:t>
      </w:r>
      <w:r>
        <w:rPr>
          <w:rFonts w:ascii="Times New Roman" w:hAnsi="Times New Roman" w:cs="Times New Roman" w:eastAsia="Times New Roman"/>
          <w:b/>
          <w:color w:val="auto"/>
          <w:spacing w:val="0"/>
          <w:position w:val="0"/>
          <w:sz w:val="22"/>
          <w:shd w:fill="auto" w:val="clear"/>
        </w:rPr>
        <w:t xml:space="preserve">Environmental Geochemistry and Health</w:t>
      </w:r>
      <w:r>
        <w:rPr>
          <w:rFonts w:ascii="Times New Roman" w:hAnsi="Times New Roman" w:cs="Times New Roman" w:eastAsia="Times New Roman"/>
          <w:color w:val="auto"/>
          <w:spacing w:val="0"/>
          <w:position w:val="0"/>
          <w:sz w:val="22"/>
          <w:shd w:fill="auto" w:val="clear"/>
        </w:rPr>
        <w:t xml:space="preserve">. v. 36, p. 735-753, 2014;</w:t>
      </w:r>
    </w:p>
    <w:p>
      <w:pPr>
        <w:spacing w:before="120" w:after="120" w:line="24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222222"/>
          <w:spacing w:val="0"/>
          <w:position w:val="0"/>
          <w:sz w:val="24"/>
          <w:shd w:fill="FFFFFF" w:val="clear"/>
        </w:rPr>
        <w:t xml:space="preserve">COSTA, Carla Regina et al. A toxicidade em ambientes aquáticos: discussão e métodos de avaliação. </w:t>
      </w:r>
      <w:r>
        <w:rPr>
          <w:rFonts w:ascii="Times New Roman" w:hAnsi="Times New Roman" w:cs="Times New Roman" w:eastAsia="Times New Roman"/>
          <w:b/>
          <w:color w:val="222222"/>
          <w:spacing w:val="0"/>
          <w:position w:val="0"/>
          <w:sz w:val="24"/>
          <w:shd w:fill="FFFFFF" w:val="clear"/>
        </w:rPr>
        <w:t xml:space="preserve">Química Nova</w:t>
      </w:r>
      <w:r>
        <w:rPr>
          <w:rFonts w:ascii="Times New Roman" w:hAnsi="Times New Roman" w:cs="Times New Roman" w:eastAsia="Times New Roman"/>
          <w:color w:val="222222"/>
          <w:spacing w:val="0"/>
          <w:position w:val="0"/>
          <w:sz w:val="24"/>
          <w:shd w:fill="FFFFFF" w:val="clear"/>
        </w:rPr>
        <w:t xml:space="preserve">, v. 31, n. 7, p. 1820-1830, 2008.</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COSTA, L. C.; FERREIRA, A. P.; NEVES, E. B. Aplicação do sistema de projeção de poluição industrial (Modelo IPPS) na bacia hidrográfica da baía de Sepetiba (Rio de Janeiro, Brasil): estudo de caso.</w:t>
      </w:r>
      <w:r>
        <w:rPr>
          <w:rFonts w:ascii="Times New Roman" w:hAnsi="Times New Roman" w:cs="Times New Roman" w:eastAsia="Times New Roman"/>
          <w:b/>
          <w:color w:val="auto"/>
          <w:spacing w:val="0"/>
          <w:position w:val="0"/>
          <w:sz w:val="22"/>
          <w:shd w:fill="auto" w:val="clear"/>
        </w:rPr>
        <w:t xml:space="preserve"> Cadernos Saúde Coletiva</w:t>
      </w:r>
      <w:r>
        <w:rPr>
          <w:rFonts w:ascii="Times New Roman" w:hAnsi="Times New Roman" w:cs="Times New Roman" w:eastAsia="Times New Roman"/>
          <w:color w:val="auto"/>
          <w:spacing w:val="0"/>
          <w:position w:val="0"/>
          <w:sz w:val="22"/>
          <w:shd w:fill="auto" w:val="clear"/>
        </w:rPr>
        <w:t xml:space="preserve">. v. 19, p. 66-73, 2011;</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COSTA, M. C. R.; DAMILANO, C. R.; VASCONCELLOS, A.; COSTA, R. C. Diagnóstico ambiental de área industrial contaminada metais pesados. </w:t>
      </w:r>
      <w:r>
        <w:rPr>
          <w:rFonts w:ascii="Times New Roman" w:hAnsi="Times New Roman" w:cs="Times New Roman" w:eastAsia="Times New Roman"/>
          <w:b/>
          <w:color w:val="auto"/>
          <w:spacing w:val="0"/>
          <w:position w:val="0"/>
          <w:sz w:val="22"/>
          <w:shd w:fill="auto" w:val="clear"/>
        </w:rPr>
        <w:t xml:space="preserve">Revista Biociências, UNITAU.</w:t>
      </w:r>
      <w:r>
        <w:rPr>
          <w:rFonts w:ascii="Times New Roman" w:hAnsi="Times New Roman" w:cs="Times New Roman" w:eastAsia="Times New Roman"/>
          <w:color w:val="auto"/>
          <w:spacing w:val="0"/>
          <w:position w:val="0"/>
          <w:sz w:val="22"/>
          <w:shd w:fill="auto" w:val="clear"/>
        </w:rPr>
        <w:t xml:space="preserve"> v. 14, n. 1, p. 51-61, 2008; </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CUNHA, T. S. </w:t>
      </w:r>
      <w:r>
        <w:rPr>
          <w:rFonts w:ascii="Times New Roman" w:hAnsi="Times New Roman" w:cs="Times New Roman" w:eastAsia="Times New Roman"/>
          <w:b/>
          <w:color w:val="auto"/>
          <w:spacing w:val="0"/>
          <w:position w:val="0"/>
          <w:sz w:val="22"/>
          <w:shd w:fill="auto" w:val="clear"/>
        </w:rPr>
        <w:t xml:space="preserve">Cronologia da deposição de elementos-traço nas Baía de Sepetiba e Ilha Grande (RJ).</w:t>
      </w:r>
      <w:r>
        <w:rPr>
          <w:rFonts w:ascii="Times New Roman" w:hAnsi="Times New Roman" w:cs="Times New Roman" w:eastAsia="Times New Roman"/>
          <w:color w:val="auto"/>
          <w:spacing w:val="0"/>
          <w:position w:val="0"/>
          <w:sz w:val="22"/>
          <w:shd w:fill="auto" w:val="clear"/>
        </w:rPr>
        <w:t xml:space="preserve"> UFF, Niterói, Rio de Janeiro, 2005;</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DA COSTA, M. R.; BORBA, A. L. S.; DE OLIVEIRA, J. L.; PEREIRA, H. R. O.; DE FRANÇA, A. F. A proteção das águas: recurso natural limitado. </w:t>
      </w:r>
      <w:r>
        <w:rPr>
          <w:rFonts w:ascii="Times New Roman" w:hAnsi="Times New Roman" w:cs="Times New Roman" w:eastAsia="Times New Roman"/>
          <w:b/>
          <w:color w:val="auto"/>
          <w:spacing w:val="0"/>
          <w:position w:val="0"/>
          <w:sz w:val="22"/>
          <w:shd w:fill="auto" w:val="clear"/>
        </w:rPr>
        <w:t xml:space="preserve">Águas Subterrâneas</w:t>
      </w:r>
      <w:r>
        <w:rPr>
          <w:rFonts w:ascii="Times New Roman" w:hAnsi="Times New Roman" w:cs="Times New Roman" w:eastAsia="Times New Roman"/>
          <w:color w:val="auto"/>
          <w:spacing w:val="0"/>
          <w:position w:val="0"/>
          <w:sz w:val="22"/>
          <w:shd w:fill="auto" w:val="clear"/>
        </w:rPr>
        <w:t xml:space="preserve">. XVI Congresso Brasileiro de Águas Subterrâneas e XVII Encontro Nacional de Perfuradores de Poços. P. 1-8, 2010;</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DA COSTA, J. V. M.; TYBUSCH, J. S. Uma abordagem crítica sobre a outorga dos direitos de uso dos recursos hídricos no Brasil. </w:t>
      </w:r>
      <w:r>
        <w:rPr>
          <w:rFonts w:ascii="Times New Roman" w:hAnsi="Times New Roman" w:cs="Times New Roman" w:eastAsia="Times New Roman"/>
          <w:b/>
          <w:color w:val="auto"/>
          <w:spacing w:val="0"/>
          <w:position w:val="0"/>
          <w:sz w:val="22"/>
          <w:shd w:fill="auto" w:val="clear"/>
        </w:rPr>
        <w:t xml:space="preserve">Anais da Semana Acadêmica </w:t>
      </w:r>
      <w:r>
        <w:rPr>
          <w:rFonts w:ascii="Times New Roman" w:hAnsi="Times New Roman" w:cs="Times New Roman" w:eastAsia="Times New Roman"/>
          <w:b/>
          <w:color w:val="auto"/>
          <w:spacing w:val="0"/>
          <w:position w:val="0"/>
          <w:sz w:val="22"/>
          <w:shd w:fill="auto" w:val="clear"/>
        </w:rPr>
        <w:t xml:space="preserve">–</w:t>
      </w:r>
      <w:r>
        <w:rPr>
          <w:rFonts w:ascii="Times New Roman" w:hAnsi="Times New Roman" w:cs="Times New Roman" w:eastAsia="Times New Roman"/>
          <w:b/>
          <w:color w:val="auto"/>
          <w:spacing w:val="0"/>
          <w:position w:val="0"/>
          <w:sz w:val="22"/>
          <w:shd w:fill="auto" w:val="clear"/>
        </w:rPr>
        <w:t xml:space="preserve"> Fadisma Entremente</w:t>
      </w:r>
      <w:r>
        <w:rPr>
          <w:rFonts w:ascii="Times New Roman" w:hAnsi="Times New Roman" w:cs="Times New Roman" w:eastAsia="Times New Roman"/>
          <w:color w:val="auto"/>
          <w:spacing w:val="0"/>
          <w:position w:val="0"/>
          <w:sz w:val="22"/>
          <w:shd w:fill="auto" w:val="clear"/>
        </w:rPr>
        <w:t xml:space="preserve">. Ed. 12, p. 1-16, 2017;</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DAMATTO, S. R. </w:t>
      </w:r>
      <w:r>
        <w:rPr>
          <w:rFonts w:ascii="Times New Roman" w:hAnsi="Times New Roman" w:cs="Times New Roman" w:eastAsia="Times New Roman"/>
          <w:b/>
          <w:color w:val="auto"/>
          <w:spacing w:val="0"/>
          <w:position w:val="0"/>
          <w:sz w:val="22"/>
          <w:shd w:fill="auto" w:val="clear"/>
        </w:rPr>
        <w:t xml:space="preserve">Radionuclídeos Naturais das séries do U238 e 232Th, elementos traço e maiores determinantes em perfis de sedimentos da Baixada Santista para avaliação de áreas impactadas</w:t>
      </w:r>
      <w:r>
        <w:rPr>
          <w:rFonts w:ascii="Times New Roman" w:hAnsi="Times New Roman" w:cs="Times New Roman" w:eastAsia="Times New Roman"/>
          <w:color w:val="auto"/>
          <w:spacing w:val="0"/>
          <w:position w:val="0"/>
          <w:sz w:val="22"/>
          <w:shd w:fill="auto" w:val="clear"/>
        </w:rPr>
        <w:t xml:space="preserve">. Instituto de Pesquisas Energética e Nucleares, São Paulo, 2010;</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DAS, K. K.; DAS, S. N.; DHUNDASI, S. A. Nickel, its adverse health effects &amp; oxidative stress. </w:t>
      </w:r>
      <w:r>
        <w:rPr>
          <w:rFonts w:ascii="Times New Roman" w:hAnsi="Times New Roman" w:cs="Times New Roman" w:eastAsia="Times New Roman"/>
          <w:b/>
          <w:color w:val="auto"/>
          <w:spacing w:val="0"/>
          <w:position w:val="0"/>
          <w:sz w:val="22"/>
          <w:shd w:fill="auto" w:val="clear"/>
        </w:rPr>
        <w:t xml:space="preserve">Indian Journal of Medical Research.</w:t>
      </w:r>
      <w:r>
        <w:rPr>
          <w:rFonts w:ascii="Times New Roman" w:hAnsi="Times New Roman" w:cs="Times New Roman" w:eastAsia="Times New Roman"/>
          <w:color w:val="auto"/>
          <w:spacing w:val="0"/>
          <w:position w:val="0"/>
          <w:sz w:val="22"/>
          <w:shd w:fill="auto" w:val="clear"/>
        </w:rPr>
        <w:t xml:space="preserve"> v. 128, p. 412-425, 2008;</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DAS, K. K.; GUPTA, A. D.; DHUNDASI, S. A.; PATIL, A. M.; DAS, S. N.; AMBEKAR, J. G. Effect of L-ascorbic acid on nickel-induced alterations in serum lipid profiles and liver histopathology of rats. </w:t>
      </w:r>
      <w:r>
        <w:rPr>
          <w:rFonts w:ascii="Times New Roman" w:hAnsi="Times New Roman" w:cs="Times New Roman" w:eastAsia="Times New Roman"/>
          <w:b/>
          <w:color w:val="auto"/>
          <w:spacing w:val="0"/>
          <w:position w:val="0"/>
          <w:sz w:val="22"/>
          <w:shd w:fill="auto" w:val="clear"/>
        </w:rPr>
        <w:t xml:space="preserve">Journal of Basic and Clinical Physiology and Pharmacology.</w:t>
      </w:r>
      <w:r>
        <w:rPr>
          <w:rFonts w:ascii="Times New Roman" w:hAnsi="Times New Roman" w:cs="Times New Roman" w:eastAsia="Times New Roman"/>
          <w:color w:val="auto"/>
          <w:spacing w:val="0"/>
          <w:position w:val="0"/>
          <w:sz w:val="22"/>
          <w:shd w:fill="auto" w:val="clear"/>
        </w:rPr>
        <w:t xml:space="preserve"> v. 17, p. 20-44, 2006;</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DERÍSIO, J. C. Recurso Água. </w:t>
      </w:r>
      <w:r>
        <w:rPr>
          <w:rFonts w:ascii="Times New Roman" w:hAnsi="Times New Roman" w:cs="Times New Roman" w:eastAsia="Times New Roman"/>
          <w:i/>
          <w:color w:val="auto"/>
          <w:spacing w:val="0"/>
          <w:position w:val="0"/>
          <w:sz w:val="22"/>
          <w:shd w:fill="auto" w:val="clear"/>
        </w:rPr>
        <w:t xml:space="preserve">In:</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b/>
          <w:color w:val="auto"/>
          <w:spacing w:val="0"/>
          <w:position w:val="0"/>
          <w:sz w:val="22"/>
          <w:shd w:fill="auto" w:val="clear"/>
        </w:rPr>
        <w:t xml:space="preserve">Introdução ao controle de poluição ambiental</w:t>
      </w:r>
      <w:r>
        <w:rPr>
          <w:rFonts w:ascii="Times New Roman" w:hAnsi="Times New Roman" w:cs="Times New Roman" w:eastAsia="Times New Roman"/>
          <w:color w:val="auto"/>
          <w:spacing w:val="0"/>
          <w:position w:val="0"/>
          <w:sz w:val="22"/>
          <w:shd w:fill="auto" w:val="clear"/>
        </w:rPr>
        <w:t xml:space="preserve">. Ed. Oficina de Textos, São Paulo, p. 18-111, 2013;</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DE JESUS, H. C.; COSTA, E. A; MENDONÇA, A. S. F.; ZANDONADE, E. Distribuição de metais pesados em sedimentos do sistema estuarino da Ilha de Vitória-ES. </w:t>
      </w:r>
      <w:r>
        <w:rPr>
          <w:rFonts w:ascii="Times New Roman" w:hAnsi="Times New Roman" w:cs="Times New Roman" w:eastAsia="Times New Roman"/>
          <w:b/>
          <w:color w:val="auto"/>
          <w:spacing w:val="0"/>
          <w:position w:val="0"/>
          <w:sz w:val="22"/>
          <w:shd w:fill="auto" w:val="clear"/>
        </w:rPr>
        <w:t xml:space="preserve">Química Nova</w:t>
      </w:r>
      <w:r>
        <w:rPr>
          <w:rFonts w:ascii="Times New Roman" w:hAnsi="Times New Roman" w:cs="Times New Roman" w:eastAsia="Times New Roman"/>
          <w:color w:val="auto"/>
          <w:spacing w:val="0"/>
          <w:position w:val="0"/>
          <w:sz w:val="22"/>
          <w:shd w:fill="auto" w:val="clear"/>
        </w:rPr>
        <w:t xml:space="preserve">, v. 27, n. 3, p. 378-386, 2004;</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DE JESUS, S. B. </w:t>
      </w:r>
      <w:r>
        <w:rPr>
          <w:rFonts w:ascii="Times New Roman" w:hAnsi="Times New Roman" w:cs="Times New Roman" w:eastAsia="Times New Roman"/>
          <w:b/>
          <w:color w:val="auto"/>
          <w:spacing w:val="0"/>
          <w:position w:val="0"/>
          <w:sz w:val="22"/>
          <w:shd w:fill="auto" w:val="clear"/>
        </w:rPr>
        <w:t xml:space="preserve">Caracterização da geoquímica e comunidade Cladocera dos estuários do rio Una, e rio Jequitinhonha, Belmonte, Bahia, Brasil</w:t>
      </w:r>
      <w:r>
        <w:rPr>
          <w:rFonts w:ascii="Times New Roman" w:hAnsi="Times New Roman" w:cs="Times New Roman" w:eastAsia="Times New Roman"/>
          <w:color w:val="auto"/>
          <w:spacing w:val="0"/>
          <w:position w:val="0"/>
          <w:sz w:val="22"/>
          <w:shd w:fill="auto" w:val="clear"/>
        </w:rPr>
        <w:t xml:space="preserve">. UFBA, Bahia, 2015;</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DE LIMA, I. V.; PEDROZO, M. F. M. </w:t>
      </w:r>
      <w:r>
        <w:rPr>
          <w:rFonts w:ascii="Times New Roman" w:hAnsi="Times New Roman" w:cs="Times New Roman" w:eastAsia="Times New Roman"/>
          <w:b/>
          <w:color w:val="auto"/>
          <w:spacing w:val="0"/>
          <w:position w:val="0"/>
          <w:sz w:val="22"/>
          <w:shd w:fill="auto" w:val="clear"/>
        </w:rPr>
        <w:t xml:space="preserve">Ecotoxicologia do ferro e seus compostos</w:t>
      </w:r>
      <w:r>
        <w:rPr>
          <w:rFonts w:ascii="Times New Roman" w:hAnsi="Times New Roman" w:cs="Times New Roman" w:eastAsia="Times New Roman"/>
          <w:color w:val="auto"/>
          <w:spacing w:val="0"/>
          <w:position w:val="0"/>
          <w:sz w:val="22"/>
          <w:shd w:fill="auto" w:val="clear"/>
        </w:rPr>
        <w:t xml:space="preserve">. Salvador, CRA, 112 p, 2001;</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DE OLIVEIRA, R. C. B.; MARINS, R. V. Dinâmica de metais-traço em solo e ambiente sedimentar estuarino como um fator determinante no aporte desses contaminantes para o ambiente aquático: Revisão. </w:t>
      </w:r>
      <w:r>
        <w:rPr>
          <w:rFonts w:ascii="Times New Roman" w:hAnsi="Times New Roman" w:cs="Times New Roman" w:eastAsia="Times New Roman"/>
          <w:b/>
          <w:color w:val="auto"/>
          <w:spacing w:val="0"/>
          <w:position w:val="0"/>
          <w:sz w:val="22"/>
          <w:shd w:fill="auto" w:val="clear"/>
        </w:rPr>
        <w:t xml:space="preserve">Revista Virtual de Química</w:t>
      </w:r>
      <w:r>
        <w:rPr>
          <w:rFonts w:ascii="Times New Roman" w:hAnsi="Times New Roman" w:cs="Times New Roman" w:eastAsia="Times New Roman"/>
          <w:color w:val="auto"/>
          <w:spacing w:val="0"/>
          <w:position w:val="0"/>
          <w:sz w:val="22"/>
          <w:shd w:fill="auto" w:val="clear"/>
        </w:rPr>
        <w:t xml:space="preserve">. v. 3, n. 2, p. 88-102, 2011;</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DIAS, J. C. </w:t>
      </w:r>
      <w:r>
        <w:rPr>
          <w:rFonts w:ascii="Times New Roman" w:hAnsi="Times New Roman" w:cs="Times New Roman" w:eastAsia="Times New Roman"/>
          <w:b/>
          <w:color w:val="auto"/>
          <w:spacing w:val="0"/>
          <w:position w:val="0"/>
          <w:sz w:val="22"/>
          <w:shd w:fill="auto" w:val="clear"/>
        </w:rPr>
        <w:t xml:space="preserve">Diagênese e acumulação de fósforo em sedimentos de áreas distintas na Baía de Sepetiba</w:t>
      </w:r>
      <w:r>
        <w:rPr>
          <w:rFonts w:ascii="Times New Roman" w:hAnsi="Times New Roman" w:cs="Times New Roman" w:eastAsia="Times New Roman"/>
          <w:color w:val="auto"/>
          <w:spacing w:val="0"/>
          <w:position w:val="0"/>
          <w:sz w:val="22"/>
          <w:shd w:fill="auto" w:val="clear"/>
        </w:rPr>
        <w:t xml:space="preserve">. UFF/Geociências, Niterói, 2007; </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DOS SANTOS, S. B. </w:t>
      </w:r>
      <w:r>
        <w:rPr>
          <w:rFonts w:ascii="Times New Roman" w:hAnsi="Times New Roman" w:cs="Times New Roman" w:eastAsia="Times New Roman"/>
          <w:b/>
          <w:color w:val="auto"/>
          <w:spacing w:val="0"/>
          <w:position w:val="0"/>
          <w:sz w:val="22"/>
          <w:shd w:fill="auto" w:val="clear"/>
        </w:rPr>
        <w:t xml:space="preserve">Elementos traço em soro sanguíneo medidos pelo método de PIXE e ICP-MS</w:t>
      </w:r>
      <w:r>
        <w:rPr>
          <w:rFonts w:ascii="Times New Roman" w:hAnsi="Times New Roman" w:cs="Times New Roman" w:eastAsia="Times New Roman"/>
          <w:color w:val="auto"/>
          <w:spacing w:val="0"/>
          <w:position w:val="0"/>
          <w:sz w:val="22"/>
          <w:shd w:fill="auto" w:val="clear"/>
        </w:rPr>
        <w:t xml:space="preserve">. USP, São Paulo, 2007;</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DUFFUS J. H. Heavy metals-a meaningless term? </w:t>
      </w:r>
      <w:r>
        <w:rPr>
          <w:rFonts w:ascii="Times New Roman" w:hAnsi="Times New Roman" w:cs="Times New Roman" w:eastAsia="Times New Roman"/>
          <w:b/>
          <w:color w:val="auto"/>
          <w:spacing w:val="0"/>
          <w:position w:val="0"/>
          <w:sz w:val="22"/>
          <w:shd w:fill="auto" w:val="clear"/>
        </w:rPr>
        <w:t xml:space="preserve">Pure and Applied Chemistry</w:t>
      </w:r>
      <w:r>
        <w:rPr>
          <w:rFonts w:ascii="Times New Roman" w:hAnsi="Times New Roman" w:cs="Times New Roman" w:eastAsia="Times New Roman"/>
          <w:color w:val="auto"/>
          <w:spacing w:val="0"/>
          <w:position w:val="0"/>
          <w:sz w:val="22"/>
          <w:shd w:fill="auto" w:val="clear"/>
        </w:rPr>
        <w:t xml:space="preserve">. v. 74, n.5, p. 793-807, 2002;</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FAIRWEATHER-TAIT, S. J.; BAO, Y.; BROADLEY, M. R.; COLLINGS, R.; FORD, D.; et al. Selenium in human health and disease.</w:t>
      </w:r>
      <w:r>
        <w:rPr>
          <w:rFonts w:ascii="Times New Roman" w:hAnsi="Times New Roman" w:cs="Times New Roman" w:eastAsia="Times New Roman"/>
          <w:b/>
          <w:color w:val="auto"/>
          <w:spacing w:val="0"/>
          <w:position w:val="0"/>
          <w:sz w:val="22"/>
          <w:shd w:fill="auto" w:val="clear"/>
        </w:rPr>
        <w:t xml:space="preserve"> Antioxidants &amp; Redox Signaling</w:t>
      </w:r>
      <w:r>
        <w:rPr>
          <w:rFonts w:ascii="Times New Roman" w:hAnsi="Times New Roman" w:cs="Times New Roman" w:eastAsia="Times New Roman"/>
          <w:color w:val="auto"/>
          <w:spacing w:val="0"/>
          <w:position w:val="0"/>
          <w:sz w:val="22"/>
          <w:shd w:fill="auto" w:val="clear"/>
        </w:rPr>
        <w:t xml:space="preserve">. v. 14, n. 7, p. 1337-1383, 2011;</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FENG, H.; HAN, X. F.; ZHANG, W. G.; YU, L. Z. A preliminary study of heavy metal contamination in Yangtze River intertidal zone due to urbanization. </w:t>
      </w:r>
      <w:r>
        <w:rPr>
          <w:rFonts w:ascii="Times New Roman" w:hAnsi="Times New Roman" w:cs="Times New Roman" w:eastAsia="Times New Roman"/>
          <w:b/>
          <w:color w:val="auto"/>
          <w:spacing w:val="0"/>
          <w:position w:val="0"/>
          <w:sz w:val="22"/>
          <w:shd w:fill="auto" w:val="clear"/>
        </w:rPr>
        <w:t xml:space="preserve">Marine Pollution Bulletin</w:t>
      </w:r>
      <w:r>
        <w:rPr>
          <w:rFonts w:ascii="Times New Roman" w:hAnsi="Times New Roman" w:cs="Times New Roman" w:eastAsia="Times New Roman"/>
          <w:color w:val="auto"/>
          <w:spacing w:val="0"/>
          <w:position w:val="0"/>
          <w:sz w:val="22"/>
          <w:shd w:fill="auto" w:val="clear"/>
        </w:rPr>
        <w:t xml:space="preserve">. v. 49, p. 910-915, 2004;</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FERNANDES, H. M.; CONTI, L. F. C.; PATCHINEELAM, S. R. </w:t>
      </w:r>
      <w:r>
        <w:rPr>
          <w:rFonts w:ascii="Times New Roman" w:hAnsi="Times New Roman" w:cs="Times New Roman" w:eastAsia="Times New Roman"/>
          <w:b/>
          <w:color w:val="auto"/>
          <w:spacing w:val="0"/>
          <w:position w:val="0"/>
          <w:sz w:val="22"/>
          <w:shd w:fill="auto" w:val="clear"/>
        </w:rPr>
        <w:t xml:space="preserve">Environmental Technology</w:t>
      </w:r>
      <w:r>
        <w:rPr>
          <w:rFonts w:ascii="Times New Roman" w:hAnsi="Times New Roman" w:cs="Times New Roman" w:eastAsia="Times New Roman"/>
          <w:color w:val="auto"/>
          <w:spacing w:val="0"/>
          <w:position w:val="0"/>
          <w:sz w:val="22"/>
          <w:shd w:fill="auto" w:val="clear"/>
        </w:rPr>
        <w:t xml:space="preserve">. v. 1, p.87-94, 1994;</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FERNANDES, L. H.; MAINIER, F. B. Os riscos da exposição ocupacional ao cádmio. </w:t>
      </w:r>
      <w:r>
        <w:rPr>
          <w:rFonts w:ascii="Times New Roman" w:hAnsi="Times New Roman" w:cs="Times New Roman" w:eastAsia="Times New Roman"/>
          <w:b/>
          <w:color w:val="auto"/>
          <w:spacing w:val="0"/>
          <w:position w:val="0"/>
          <w:sz w:val="22"/>
          <w:shd w:fill="auto" w:val="clear"/>
        </w:rPr>
        <w:t xml:space="preserve">Revista Eletrônica Sistemas &amp; Gestão.</w:t>
      </w:r>
      <w:r>
        <w:rPr>
          <w:rFonts w:ascii="Times New Roman" w:hAnsi="Times New Roman" w:cs="Times New Roman" w:eastAsia="Times New Roman"/>
          <w:color w:val="auto"/>
          <w:spacing w:val="0"/>
          <w:position w:val="0"/>
          <w:sz w:val="22"/>
          <w:shd w:fill="auto" w:val="clear"/>
        </w:rPr>
        <w:t xml:space="preserve"> v. 9, n. 2, p. 194-199, 2014. DOI: 10.7177/sg.2014.v9.n2.a3;</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FERGUSSON, J. E. </w:t>
      </w:r>
      <w:r>
        <w:rPr>
          <w:rFonts w:ascii="Times New Roman" w:hAnsi="Times New Roman" w:cs="Times New Roman" w:eastAsia="Times New Roman"/>
          <w:b/>
          <w:color w:val="auto"/>
          <w:spacing w:val="0"/>
          <w:position w:val="0"/>
          <w:sz w:val="22"/>
          <w:shd w:fill="auto" w:val="clear"/>
        </w:rPr>
        <w:t xml:space="preserve">The Heavy Elements: Chemistry, Environmental Impact and Health Effects</w:t>
      </w:r>
      <w:r>
        <w:rPr>
          <w:rFonts w:ascii="Times New Roman" w:hAnsi="Times New Roman" w:cs="Times New Roman" w:eastAsia="Times New Roman"/>
          <w:color w:val="auto"/>
          <w:spacing w:val="0"/>
          <w:position w:val="0"/>
          <w:sz w:val="22"/>
          <w:shd w:fill="auto" w:val="clear"/>
        </w:rPr>
        <w:t xml:space="preserve">. Oxford: Pergamon Press, 1990;</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FERREIRA, A. P.; HORTA, M. A. P.; CUNHA, C. L. N. Avaliação das concentrações de metais pesados no sedimento, na água e nos órgãos de </w:t>
      </w:r>
      <w:r>
        <w:rPr>
          <w:rFonts w:ascii="Times New Roman" w:hAnsi="Times New Roman" w:cs="Times New Roman" w:eastAsia="Times New Roman"/>
          <w:i/>
          <w:color w:val="auto"/>
          <w:spacing w:val="0"/>
          <w:position w:val="0"/>
          <w:sz w:val="22"/>
          <w:shd w:fill="auto" w:val="clear"/>
        </w:rPr>
        <w:t xml:space="preserve">Nycticorax nycticorax</w:t>
      </w:r>
      <w:r>
        <w:rPr>
          <w:rFonts w:ascii="Times New Roman" w:hAnsi="Times New Roman" w:cs="Times New Roman" w:eastAsia="Times New Roman"/>
          <w:color w:val="auto"/>
          <w:spacing w:val="0"/>
          <w:position w:val="0"/>
          <w:sz w:val="22"/>
          <w:shd w:fill="auto" w:val="clear"/>
        </w:rPr>
        <w:t xml:space="preserve"> (Garça-da-noite) na Baía de Sepetiba, RJ, Brasil. </w:t>
      </w:r>
      <w:r>
        <w:rPr>
          <w:rFonts w:ascii="Times New Roman" w:hAnsi="Times New Roman" w:cs="Times New Roman" w:eastAsia="Times New Roman"/>
          <w:b/>
          <w:color w:val="auto"/>
          <w:spacing w:val="0"/>
          <w:position w:val="0"/>
          <w:sz w:val="22"/>
          <w:shd w:fill="auto" w:val="clear"/>
        </w:rPr>
        <w:t xml:space="preserve">Revista da Gestão Costeira Integrada.</w:t>
      </w:r>
      <w:r>
        <w:rPr>
          <w:rFonts w:ascii="Times New Roman" w:hAnsi="Times New Roman" w:cs="Times New Roman" w:eastAsia="Times New Roman"/>
          <w:color w:val="auto"/>
          <w:spacing w:val="0"/>
          <w:position w:val="0"/>
          <w:sz w:val="22"/>
          <w:shd w:fill="auto" w:val="clear"/>
        </w:rPr>
        <w:t xml:space="preserve"> v. 10, n. 2, p. 229-241, 2010.</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FIRJAN. </w:t>
      </w:r>
      <w:r>
        <w:rPr>
          <w:rFonts w:ascii="Times New Roman" w:hAnsi="Times New Roman" w:cs="Times New Roman" w:eastAsia="Times New Roman"/>
          <w:b/>
          <w:color w:val="auto"/>
          <w:spacing w:val="0"/>
          <w:position w:val="0"/>
          <w:sz w:val="22"/>
          <w:shd w:fill="auto" w:val="clear"/>
        </w:rPr>
        <w:t xml:space="preserve">Necessidade de adequação do acesso marítimo ao complexo portuário da Baía de Sepetiba</w:t>
      </w:r>
      <w:r>
        <w:rPr>
          <w:rFonts w:ascii="Times New Roman" w:hAnsi="Times New Roman" w:cs="Times New Roman" w:eastAsia="Times New Roman"/>
          <w:color w:val="auto"/>
          <w:spacing w:val="0"/>
          <w:position w:val="0"/>
          <w:sz w:val="22"/>
          <w:shd w:fill="auto" w:val="clear"/>
        </w:rPr>
        <w:t xml:space="preserve">. 2015;</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FORSTNER, U.; WITTMAN, G. T. </w:t>
      </w:r>
      <w:r>
        <w:rPr>
          <w:rFonts w:ascii="Times New Roman" w:hAnsi="Times New Roman" w:cs="Times New Roman" w:eastAsia="Times New Roman"/>
          <w:b/>
          <w:color w:val="auto"/>
          <w:spacing w:val="0"/>
          <w:position w:val="0"/>
          <w:sz w:val="22"/>
          <w:shd w:fill="auto" w:val="clear"/>
        </w:rPr>
        <w:t xml:space="preserve">Metal Pollution in the Aquatic Environment</w:t>
      </w:r>
      <w:r>
        <w:rPr>
          <w:rFonts w:ascii="Times New Roman" w:hAnsi="Times New Roman" w:cs="Times New Roman" w:eastAsia="Times New Roman"/>
          <w:color w:val="auto"/>
          <w:spacing w:val="0"/>
          <w:position w:val="0"/>
          <w:sz w:val="22"/>
          <w:shd w:fill="auto" w:val="clear"/>
        </w:rPr>
        <w:t xml:space="preserve">. 2</w:t>
      </w:r>
      <w:r>
        <w:rPr>
          <w:rFonts w:ascii="Times New Roman" w:hAnsi="Times New Roman" w:cs="Times New Roman" w:eastAsia="Times New Roman"/>
          <w:color w:val="auto"/>
          <w:spacing w:val="0"/>
          <w:position w:val="0"/>
          <w:sz w:val="22"/>
          <w:shd w:fill="auto" w:val="clear"/>
          <w:vertAlign w:val="superscript"/>
        </w:rPr>
        <w:t xml:space="preserve">nd</w:t>
      </w:r>
      <w:r>
        <w:rPr>
          <w:rFonts w:ascii="Times New Roman" w:hAnsi="Times New Roman" w:cs="Times New Roman" w:eastAsia="Times New Roman"/>
          <w:color w:val="auto"/>
          <w:spacing w:val="0"/>
          <w:position w:val="0"/>
          <w:sz w:val="22"/>
          <w:shd w:fill="auto" w:val="clear"/>
        </w:rPr>
        <w:t xml:space="preserve"> Edition, Springer, New York, 1983; </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FREITAS, A. R.; RODRIGUES, A. P. C.; MONTE, C. N.; FREIRE, A. S.; SANTELLI, R. E.; MACHADO, W.; SABADINI</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SANTOS, E. Increase in the bioavailability of trace metals after sediment resuspension. </w:t>
      </w:r>
      <w:r>
        <w:rPr>
          <w:rFonts w:ascii="Times New Roman" w:hAnsi="Times New Roman" w:cs="Times New Roman" w:eastAsia="Times New Roman"/>
          <w:b/>
          <w:color w:val="auto"/>
          <w:spacing w:val="0"/>
          <w:position w:val="0"/>
          <w:sz w:val="22"/>
          <w:shd w:fill="auto" w:val="clear"/>
        </w:rPr>
        <w:t xml:space="preserve">Springer Nature Applied Sciences. </w:t>
      </w:r>
      <w:r>
        <w:rPr>
          <w:rFonts w:ascii="Times New Roman" w:hAnsi="Times New Roman" w:cs="Times New Roman" w:eastAsia="Times New Roman"/>
          <w:color w:val="auto"/>
          <w:spacing w:val="0"/>
          <w:position w:val="0"/>
          <w:sz w:val="22"/>
          <w:shd w:fill="auto" w:val="clear"/>
        </w:rPr>
        <w:t xml:space="preserve">v. 1, p. 1288-1301, 2019. </w:t>
      </w:r>
      <w:hyperlink xmlns:r="http://schemas.openxmlformats.org/officeDocument/2006/relationships" r:id="docRId21">
        <w:r>
          <w:rPr>
            <w:rFonts w:ascii="Times New Roman" w:hAnsi="Times New Roman" w:cs="Times New Roman" w:eastAsia="Times New Roman"/>
            <w:color w:val="0000FF"/>
            <w:spacing w:val="0"/>
            <w:position w:val="0"/>
            <w:sz w:val="22"/>
            <w:u w:val="single"/>
            <w:shd w:fill="auto" w:val="clear"/>
          </w:rPr>
          <w:t xml:space="preserve">https://doi.org/10.1007/s42452-019-1276-8</w:t>
        </w:r>
      </w:hyperlink>
      <w:r>
        <w:rPr>
          <w:rFonts w:ascii="Times New Roman" w:hAnsi="Times New Roman" w:cs="Times New Roman" w:eastAsia="Times New Roman"/>
          <w:color w:val="auto"/>
          <w:spacing w:val="0"/>
          <w:position w:val="0"/>
          <w:sz w:val="22"/>
          <w:shd w:fill="auto" w:val="clear"/>
        </w:rPr>
        <w:t xml:space="preserve">.</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FUNDAÇÃO ESTADUAL DO RIO DE JANEIRO (FEEMA). </w:t>
      </w:r>
      <w:r>
        <w:rPr>
          <w:rFonts w:ascii="Times New Roman" w:hAnsi="Times New Roman" w:cs="Times New Roman" w:eastAsia="Times New Roman"/>
          <w:b/>
          <w:color w:val="auto"/>
          <w:spacing w:val="0"/>
          <w:position w:val="0"/>
          <w:sz w:val="22"/>
          <w:shd w:fill="auto" w:val="clear"/>
        </w:rPr>
        <w:t xml:space="preserve">Baía de Sepetiba </w:t>
      </w:r>
      <w:r>
        <w:rPr>
          <w:rFonts w:ascii="Times New Roman" w:hAnsi="Times New Roman" w:cs="Times New Roman" w:eastAsia="Times New Roman"/>
          <w:b/>
          <w:color w:val="auto"/>
          <w:spacing w:val="0"/>
          <w:position w:val="0"/>
          <w:sz w:val="22"/>
          <w:shd w:fill="auto" w:val="clear"/>
        </w:rPr>
        <w:t xml:space="preserve">–</w:t>
      </w:r>
      <w:r>
        <w:rPr>
          <w:rFonts w:ascii="Times New Roman" w:hAnsi="Times New Roman" w:cs="Times New Roman" w:eastAsia="Times New Roman"/>
          <w:b/>
          <w:color w:val="auto"/>
          <w:spacing w:val="0"/>
          <w:position w:val="0"/>
          <w:sz w:val="22"/>
          <w:shd w:fill="auto" w:val="clear"/>
        </w:rPr>
        <w:t xml:space="preserve"> Rios da baixada da Ba</w:t>
      </w:r>
      <w:r>
        <w:rPr>
          <w:rFonts w:ascii="Times New Roman" w:hAnsi="Times New Roman" w:cs="Times New Roman" w:eastAsia="Times New Roman"/>
          <w:b/>
          <w:color w:val="auto"/>
          <w:spacing w:val="0"/>
          <w:position w:val="0"/>
          <w:sz w:val="22"/>
          <w:shd w:fill="auto" w:val="clear"/>
        </w:rPr>
        <w:t xml:space="preserve">ía de Sepetiba </w:t>
      </w:r>
      <w:r>
        <w:rPr>
          <w:rFonts w:ascii="Times New Roman" w:hAnsi="Times New Roman" w:cs="Times New Roman" w:eastAsia="Times New Roman"/>
          <w:b/>
          <w:color w:val="auto"/>
          <w:spacing w:val="0"/>
          <w:position w:val="0"/>
          <w:sz w:val="22"/>
          <w:shd w:fill="auto" w:val="clear"/>
        </w:rPr>
        <w:t xml:space="preserve">–</w:t>
      </w:r>
      <w:r>
        <w:rPr>
          <w:rFonts w:ascii="Times New Roman" w:hAnsi="Times New Roman" w:cs="Times New Roman" w:eastAsia="Times New Roman"/>
          <w:b/>
          <w:color w:val="auto"/>
          <w:spacing w:val="0"/>
          <w:position w:val="0"/>
          <w:sz w:val="22"/>
          <w:shd w:fill="auto" w:val="clear"/>
        </w:rPr>
        <w:t xml:space="preserve"> Diagn</w:t>
      </w:r>
      <w:r>
        <w:rPr>
          <w:rFonts w:ascii="Times New Roman" w:hAnsi="Times New Roman" w:cs="Times New Roman" w:eastAsia="Times New Roman"/>
          <w:b/>
          <w:color w:val="auto"/>
          <w:spacing w:val="0"/>
          <w:position w:val="0"/>
          <w:sz w:val="22"/>
          <w:shd w:fill="auto" w:val="clear"/>
        </w:rPr>
        <w:t xml:space="preserve">óstico de qualidade de água e sedimento. Relatório</w:t>
      </w:r>
      <w:r>
        <w:rPr>
          <w:rFonts w:ascii="Times New Roman" w:hAnsi="Times New Roman" w:cs="Times New Roman" w:eastAsia="Times New Roman"/>
          <w:color w:val="auto"/>
          <w:spacing w:val="0"/>
          <w:position w:val="0"/>
          <w:sz w:val="22"/>
          <w:shd w:fill="auto" w:val="clear"/>
        </w:rPr>
        <w:t xml:space="preserve">. Rio de Janeiro, 2006;</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GHANI, A. Effect of chromium toxicity on growth, chlorophyll and some mineral nutrients of Brassica juncea L. </w:t>
      </w:r>
      <w:r>
        <w:rPr>
          <w:rFonts w:ascii="Times New Roman" w:hAnsi="Times New Roman" w:cs="Times New Roman" w:eastAsia="Times New Roman"/>
          <w:b/>
          <w:color w:val="auto"/>
          <w:spacing w:val="0"/>
          <w:position w:val="0"/>
          <w:sz w:val="22"/>
          <w:shd w:fill="auto" w:val="clear"/>
        </w:rPr>
        <w:t xml:space="preserve">Egyptian Academic Journal of Biological Sciences</w:t>
      </w:r>
      <w:r>
        <w:rPr>
          <w:rFonts w:ascii="Times New Roman" w:hAnsi="Times New Roman" w:cs="Times New Roman" w:eastAsia="Times New Roman"/>
          <w:color w:val="auto"/>
          <w:spacing w:val="0"/>
          <w:position w:val="0"/>
          <w:sz w:val="22"/>
          <w:shd w:fill="auto" w:val="clear"/>
        </w:rPr>
        <w:t xml:space="preserve">. v. 2, n. 1, p. 9-15, 2011;</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GINÉ-ROSIAS, M. F. </w:t>
      </w:r>
      <w:r>
        <w:rPr>
          <w:rFonts w:ascii="Times New Roman" w:hAnsi="Times New Roman" w:cs="Times New Roman" w:eastAsia="Times New Roman"/>
          <w:b/>
          <w:color w:val="auto"/>
          <w:spacing w:val="0"/>
          <w:position w:val="0"/>
          <w:sz w:val="22"/>
          <w:shd w:fill="auto" w:val="clear"/>
        </w:rPr>
        <w:t xml:space="preserve">Espectrometria de massas com fonte de plasma acoplado.</w:t>
      </w:r>
      <w:r>
        <w:rPr>
          <w:rFonts w:ascii="Times New Roman" w:hAnsi="Times New Roman" w:cs="Times New Roman" w:eastAsia="Times New Roman"/>
          <w:color w:val="auto"/>
          <w:spacing w:val="0"/>
          <w:position w:val="0"/>
          <w:sz w:val="22"/>
          <w:shd w:fill="auto" w:val="clear"/>
        </w:rPr>
        <w:t xml:space="preserve"> Ed. CPG/CENA, novembro 1999;</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GIUSTI, L.; WILLIAMSON, A. C.; MISTRY, A. Biological-ly available trace metals in </w:t>
      </w:r>
      <w:r>
        <w:rPr>
          <w:rFonts w:ascii="Times New Roman" w:hAnsi="Times New Roman" w:cs="Times New Roman" w:eastAsia="Times New Roman"/>
          <w:i/>
          <w:color w:val="auto"/>
          <w:spacing w:val="0"/>
          <w:position w:val="0"/>
          <w:sz w:val="22"/>
          <w:shd w:fill="auto" w:val="clear"/>
        </w:rPr>
        <w:t xml:space="preserve">Mytilus edulis</w:t>
      </w:r>
      <w:r>
        <w:rPr>
          <w:rFonts w:ascii="Times New Roman" w:hAnsi="Times New Roman" w:cs="Times New Roman" w:eastAsia="Times New Roman"/>
          <w:color w:val="auto"/>
          <w:spacing w:val="0"/>
          <w:position w:val="0"/>
          <w:sz w:val="22"/>
          <w:shd w:fill="auto" w:val="clear"/>
        </w:rPr>
        <w:t xml:space="preserve"> from the coast of northeast England. </w:t>
      </w:r>
      <w:r>
        <w:rPr>
          <w:rFonts w:ascii="Times New Roman" w:hAnsi="Times New Roman" w:cs="Times New Roman" w:eastAsia="Times New Roman"/>
          <w:b/>
          <w:color w:val="auto"/>
          <w:spacing w:val="0"/>
          <w:position w:val="0"/>
          <w:sz w:val="22"/>
          <w:shd w:fill="auto" w:val="clear"/>
        </w:rPr>
        <w:t xml:space="preserve">Environment International</w:t>
      </w:r>
      <w:r>
        <w:rPr>
          <w:rFonts w:ascii="Times New Roman" w:hAnsi="Times New Roman" w:cs="Times New Roman" w:eastAsia="Times New Roman"/>
          <w:color w:val="auto"/>
          <w:spacing w:val="0"/>
          <w:position w:val="0"/>
          <w:sz w:val="22"/>
          <w:shd w:fill="auto" w:val="clear"/>
        </w:rPr>
        <w:t xml:space="preserve">. v. 25, p. 969-981, 1999; </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GOMES, F. C.; GODOY, J. M.; GODOY, M. L. D.P.; CARVALHO, Z. L.; et al. Metal concentrations, fluxes, inventories and chronologies in sediments from Sepetiba and Ribeira Bays: A comparative study. </w:t>
      </w:r>
      <w:r>
        <w:rPr>
          <w:rFonts w:ascii="Times New Roman" w:hAnsi="Times New Roman" w:cs="Times New Roman" w:eastAsia="Times New Roman"/>
          <w:b/>
          <w:color w:val="auto"/>
          <w:spacing w:val="0"/>
          <w:position w:val="0"/>
          <w:sz w:val="22"/>
          <w:shd w:fill="auto" w:val="clear"/>
        </w:rPr>
        <w:t xml:space="preserve">Marine Pollution Bulletin</w:t>
      </w:r>
      <w:r>
        <w:rPr>
          <w:rFonts w:ascii="Times New Roman" w:hAnsi="Times New Roman" w:cs="Times New Roman" w:eastAsia="Times New Roman"/>
          <w:color w:val="auto"/>
          <w:spacing w:val="0"/>
          <w:position w:val="0"/>
          <w:sz w:val="22"/>
          <w:shd w:fill="auto" w:val="clear"/>
        </w:rPr>
        <w:t xml:space="preserve">. v. 59, p. 123</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133, 2009;</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GOMES, J. R.; COLACIOPPO, S. Doenças ocupacionais causadas pelo Manganês e seus compostos [artigo na internet]. [s.d]. [acesso em Agosto 2019]. Disponível em: </w:t>
      </w:r>
      <w:hyperlink xmlns:r="http://schemas.openxmlformats.org/officeDocument/2006/relationships" r:id="docRId22">
        <w:r>
          <w:rPr>
            <w:rFonts w:ascii="Times New Roman" w:hAnsi="Times New Roman" w:cs="Times New Roman" w:eastAsia="Times New Roman"/>
            <w:color w:val="0000FF"/>
            <w:spacing w:val="0"/>
            <w:position w:val="0"/>
            <w:sz w:val="22"/>
            <w:u w:val="single"/>
            <w:shd w:fill="auto" w:val="clear"/>
          </w:rPr>
          <w:t xml:space="preserve">http://www.trabalhoseguro.com/Groups/HTML/Manganes/manganes2.html</w:t>
        </w:r>
      </w:hyperlink>
    </w:p>
    <w:p>
      <w:pPr>
        <w:spacing w:before="120" w:after="120" w:line="24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GOMES, M. V. T.; SATO, Y. Avaliação da contaminação por metais pesados em peixes do Rio São Francisco à jusante da represa de Três Marias, Minas Gerais, Brasil. </w:t>
      </w:r>
      <w:r>
        <w:rPr>
          <w:rFonts w:ascii="Times New Roman" w:hAnsi="Times New Roman" w:cs="Times New Roman" w:eastAsia="Times New Roman"/>
          <w:b/>
          <w:color w:val="auto"/>
          <w:spacing w:val="0"/>
          <w:position w:val="0"/>
          <w:sz w:val="22"/>
          <w:shd w:fill="auto" w:val="clear"/>
        </w:rPr>
        <w:t xml:space="preserve">Saúde &amp; Ambiente em Revista.</w:t>
      </w:r>
      <w:r>
        <w:rPr>
          <w:rFonts w:ascii="Times New Roman" w:hAnsi="Times New Roman" w:cs="Times New Roman" w:eastAsia="Times New Roman"/>
          <w:color w:val="auto"/>
          <w:spacing w:val="0"/>
          <w:position w:val="0"/>
          <w:sz w:val="22"/>
          <w:shd w:fill="auto" w:val="clear"/>
        </w:rPr>
        <w:t xml:space="preserve"> v. 6, n. 1, p. 24-30, 2011; </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GUPTA, A. D.; DHUNDASI, S. A.; AMBEKAR, J. G.; DAS, K. K. Effect of Lascorbic acid on antioxidant defense system in testes of albino rats exposed to nickel sulphate. </w:t>
      </w:r>
      <w:r>
        <w:rPr>
          <w:rFonts w:ascii="Times New Roman" w:hAnsi="Times New Roman" w:cs="Times New Roman" w:eastAsia="Times New Roman"/>
          <w:b/>
          <w:color w:val="auto"/>
          <w:spacing w:val="0"/>
          <w:position w:val="0"/>
          <w:sz w:val="22"/>
          <w:shd w:fill="auto" w:val="clear"/>
        </w:rPr>
        <w:t xml:space="preserve">Journal of Basic and Clinical Physiology and Pharmacology</w:t>
      </w:r>
      <w:r>
        <w:rPr>
          <w:rFonts w:ascii="Times New Roman" w:hAnsi="Times New Roman" w:cs="Times New Roman" w:eastAsia="Times New Roman"/>
          <w:color w:val="auto"/>
          <w:spacing w:val="0"/>
          <w:position w:val="0"/>
          <w:sz w:val="22"/>
          <w:shd w:fill="auto" w:val="clear"/>
        </w:rPr>
        <w:t xml:space="preserve">. v. 18, p. 87-95, 2007;</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GUPTA, N.; GAURAV, S. S.; KUMAR, A. Molecular basis of aluminium toxicity in plants: a review. </w:t>
      </w:r>
      <w:r>
        <w:rPr>
          <w:rFonts w:ascii="Times New Roman" w:hAnsi="Times New Roman" w:cs="Times New Roman" w:eastAsia="Times New Roman"/>
          <w:b/>
          <w:color w:val="auto"/>
          <w:spacing w:val="0"/>
          <w:position w:val="0"/>
          <w:sz w:val="22"/>
          <w:shd w:fill="auto" w:val="clear"/>
        </w:rPr>
        <w:t xml:space="preserve">American Journal of Plant Sciences.</w:t>
      </w:r>
      <w:r>
        <w:rPr>
          <w:rFonts w:ascii="Times New Roman" w:hAnsi="Times New Roman" w:cs="Times New Roman" w:eastAsia="Times New Roman"/>
          <w:color w:val="auto"/>
          <w:spacing w:val="0"/>
          <w:position w:val="0"/>
          <w:sz w:val="22"/>
          <w:shd w:fill="auto" w:val="clear"/>
        </w:rPr>
        <w:t xml:space="preserve"> v. 4, n. 12, p. 21, 2013.</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GÜVEN, D. E.; AKINCI, G. Heavy metals partitioning in the sediments of Izmir Inner Bay. </w:t>
      </w:r>
      <w:r>
        <w:rPr>
          <w:rFonts w:ascii="Times New Roman" w:hAnsi="Times New Roman" w:cs="Times New Roman" w:eastAsia="Times New Roman"/>
          <w:b/>
          <w:color w:val="auto"/>
          <w:spacing w:val="0"/>
          <w:position w:val="0"/>
          <w:sz w:val="22"/>
          <w:shd w:fill="auto" w:val="clear"/>
        </w:rPr>
        <w:t xml:space="preserve">Journal of Environmental Sciences</w:t>
      </w:r>
      <w:r>
        <w:rPr>
          <w:rFonts w:ascii="Times New Roman" w:hAnsi="Times New Roman" w:cs="Times New Roman" w:eastAsia="Times New Roman"/>
          <w:color w:val="auto"/>
          <w:spacing w:val="0"/>
          <w:position w:val="0"/>
          <w:sz w:val="22"/>
          <w:shd w:fill="auto" w:val="clear"/>
        </w:rPr>
        <w:t xml:space="preserve">. v. 20, p. 413-418, 2008; LEMOS, A. P. </w:t>
      </w:r>
      <w:r>
        <w:rPr>
          <w:rFonts w:ascii="Times New Roman" w:hAnsi="Times New Roman" w:cs="Times New Roman" w:eastAsia="Times New Roman"/>
          <w:b/>
          <w:color w:val="auto"/>
          <w:spacing w:val="0"/>
          <w:position w:val="0"/>
          <w:sz w:val="22"/>
          <w:shd w:fill="auto" w:val="clear"/>
        </w:rPr>
        <w:t xml:space="preserve">Biodisponibilidade de metais em perfis sedimentares da Baía de Sepetiba, RJ: variabilidade espacial e ensaios de ressuspensão</w:t>
      </w:r>
      <w:r>
        <w:rPr>
          <w:rFonts w:ascii="Times New Roman" w:hAnsi="Times New Roman" w:cs="Times New Roman" w:eastAsia="Times New Roman"/>
          <w:color w:val="auto"/>
          <w:spacing w:val="0"/>
          <w:position w:val="0"/>
          <w:sz w:val="22"/>
          <w:shd w:fill="auto" w:val="clear"/>
        </w:rPr>
        <w:t xml:space="preserve">. UFF, Niterói, 2015;</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HABER, L. T.; DIAMOND, G. L.; ZHAO, Q.; ERDREICH, L.; DOURSON, M. L. Hazard identification and dose-response of ingested nickel soluble salts. </w:t>
      </w:r>
      <w:r>
        <w:rPr>
          <w:rFonts w:ascii="Times New Roman" w:hAnsi="Times New Roman" w:cs="Times New Roman" w:eastAsia="Times New Roman"/>
          <w:b/>
          <w:color w:val="auto"/>
          <w:spacing w:val="0"/>
          <w:position w:val="0"/>
          <w:sz w:val="22"/>
          <w:shd w:fill="auto" w:val="clear"/>
        </w:rPr>
        <w:t xml:space="preserve">Regulatory Toxicology and Pharmacology.</w:t>
      </w:r>
      <w:r>
        <w:rPr>
          <w:rFonts w:ascii="Times New Roman" w:hAnsi="Times New Roman" w:cs="Times New Roman" w:eastAsia="Times New Roman"/>
          <w:color w:val="auto"/>
          <w:spacing w:val="0"/>
          <w:position w:val="0"/>
          <w:sz w:val="22"/>
          <w:shd w:fill="auto" w:val="clear"/>
        </w:rPr>
        <w:t xml:space="preserve"> v. 31, p. 231-241, 2000;</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HAMELINK J. L.; LANDRUM, P. F.; HAROLD, B. L.; WILLIAM, B. H. </w:t>
      </w:r>
      <w:r>
        <w:rPr>
          <w:rFonts w:ascii="Times New Roman" w:hAnsi="Times New Roman" w:cs="Times New Roman" w:eastAsia="Times New Roman"/>
          <w:b/>
          <w:color w:val="auto"/>
          <w:spacing w:val="0"/>
          <w:position w:val="0"/>
          <w:sz w:val="22"/>
          <w:shd w:fill="auto" w:val="clear"/>
        </w:rPr>
        <w:t xml:space="preserve">Bioavailability: Physical, Chemical, and Biological Interactions</w:t>
      </w:r>
      <w:r>
        <w:rPr>
          <w:rFonts w:ascii="Times New Roman" w:hAnsi="Times New Roman" w:cs="Times New Roman" w:eastAsia="Times New Roman"/>
          <w:color w:val="auto"/>
          <w:spacing w:val="0"/>
          <w:position w:val="0"/>
          <w:sz w:val="22"/>
          <w:shd w:fill="auto" w:val="clear"/>
        </w:rPr>
        <w:t xml:space="preserve">. Boca Raton, FL: CRC Press Inc. 1994;</w:t>
      </w:r>
    </w:p>
    <w:p>
      <w:pPr>
        <w:spacing w:before="120" w:after="120" w:line="24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HANDY, R. D. Chronic effects of copper exposure versus endocrine toxicity: two sides of the same toxicological process? </w:t>
      </w:r>
      <w:r>
        <w:rPr>
          <w:rFonts w:ascii="Times New Roman" w:hAnsi="Times New Roman" w:cs="Times New Roman" w:eastAsia="Times New Roman"/>
          <w:b/>
          <w:color w:val="auto"/>
          <w:spacing w:val="0"/>
          <w:position w:val="0"/>
          <w:sz w:val="22"/>
          <w:shd w:fill="auto" w:val="clear"/>
        </w:rPr>
        <w:t xml:space="preserve">Comparative Biochemistry and Physiology - Part A: Molecular &amp; Integrative Physiology</w:t>
      </w:r>
      <w:r>
        <w:rPr>
          <w:rFonts w:ascii="Times New Roman" w:hAnsi="Times New Roman" w:cs="Times New Roman" w:eastAsia="Times New Roman"/>
          <w:color w:val="auto"/>
          <w:spacing w:val="0"/>
          <w:position w:val="0"/>
          <w:sz w:val="22"/>
          <w:shd w:fill="auto" w:val="clear"/>
        </w:rPr>
        <w:t xml:space="preserve">. v. 135, p. 25-38, 2003;</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HAYNES, E. N.; SUCHAREW, H.; KUHNELL, P.; ALDEN, J.; et al. Manganese exposure and 1155 neurocognitive outcomes in rural school-age children: the communities actively researching exposure study (Ohio, USA). </w:t>
      </w:r>
      <w:r>
        <w:rPr>
          <w:rFonts w:ascii="Times New Roman" w:hAnsi="Times New Roman" w:cs="Times New Roman" w:eastAsia="Times New Roman"/>
          <w:b/>
          <w:color w:val="auto"/>
          <w:spacing w:val="0"/>
          <w:position w:val="0"/>
          <w:sz w:val="22"/>
          <w:shd w:fill="auto" w:val="clear"/>
        </w:rPr>
        <w:t xml:space="preserve">Environmental Health Perspectives</w:t>
      </w:r>
      <w:r>
        <w:rPr>
          <w:rFonts w:ascii="Times New Roman" w:hAnsi="Times New Roman" w:cs="Times New Roman" w:eastAsia="Times New Roman"/>
          <w:color w:val="auto"/>
          <w:spacing w:val="0"/>
          <w:position w:val="0"/>
          <w:sz w:val="22"/>
          <w:shd w:fill="auto" w:val="clear"/>
        </w:rPr>
        <w:t xml:space="preserve">. v. 123, p. 1066-1071, 2015;</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HERMS, F.; GURGEL, M. H. Distribuição espacial de metais pesados nos sedimentos da baía de Sepetiba, RJ. In: Rodrigues, M. A. C.; Pereira, S. D.; Santos, S. B. </w:t>
      </w:r>
      <w:r>
        <w:rPr>
          <w:rFonts w:ascii="Times New Roman" w:hAnsi="Times New Roman" w:cs="Times New Roman" w:eastAsia="Times New Roman"/>
          <w:b/>
          <w:color w:val="auto"/>
          <w:spacing w:val="0"/>
          <w:position w:val="0"/>
          <w:sz w:val="22"/>
          <w:shd w:fill="auto" w:val="clear"/>
        </w:rPr>
        <w:t xml:space="preserve">Baía de Sepetiba - Estado da Arte</w:t>
      </w:r>
      <w:r>
        <w:rPr>
          <w:rFonts w:ascii="Times New Roman" w:hAnsi="Times New Roman" w:cs="Times New Roman" w:eastAsia="Times New Roman"/>
          <w:color w:val="auto"/>
          <w:spacing w:val="0"/>
          <w:position w:val="0"/>
          <w:sz w:val="22"/>
          <w:shd w:fill="auto" w:val="clear"/>
        </w:rPr>
        <w:t xml:space="preserve">. Corbã, Rio de Janeiro, pp 151-177, 2012;</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HERRERO-FERNÁNDEZ, Z. </w:t>
      </w:r>
      <w:r>
        <w:rPr>
          <w:rFonts w:ascii="Times New Roman" w:hAnsi="Times New Roman" w:cs="Times New Roman" w:eastAsia="Times New Roman"/>
          <w:b/>
          <w:color w:val="auto"/>
          <w:spacing w:val="0"/>
          <w:position w:val="0"/>
          <w:sz w:val="22"/>
          <w:shd w:fill="auto" w:val="clear"/>
        </w:rPr>
        <w:t xml:space="preserve">Análise de metais pesados em solos de Pernambuco com diferentes atividades antrópicas</w:t>
      </w:r>
      <w:r>
        <w:rPr>
          <w:rFonts w:ascii="Times New Roman" w:hAnsi="Times New Roman" w:cs="Times New Roman" w:eastAsia="Times New Roman"/>
          <w:color w:val="auto"/>
          <w:spacing w:val="0"/>
          <w:position w:val="0"/>
          <w:sz w:val="22"/>
          <w:shd w:fill="auto" w:val="clear"/>
        </w:rPr>
        <w:t xml:space="preserve">. Programa de Pós-Graduação em Tecnologias Energéticas e Nucleares, UFPE, 2017;</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HOWARI, F. M. Distribution of Heavy Metal Concentrations in Surface Sediments in Dubai Creeks, United Arab Emirates. </w:t>
      </w:r>
      <w:r>
        <w:rPr>
          <w:rFonts w:ascii="Times New Roman" w:hAnsi="Times New Roman" w:cs="Times New Roman" w:eastAsia="Times New Roman"/>
          <w:b/>
          <w:color w:val="auto"/>
          <w:spacing w:val="0"/>
          <w:position w:val="0"/>
          <w:sz w:val="22"/>
          <w:shd w:fill="auto" w:val="clear"/>
        </w:rPr>
        <w:t xml:space="preserve">Annali di Chimica</w:t>
      </w:r>
      <w:r>
        <w:rPr>
          <w:rFonts w:ascii="Times New Roman" w:hAnsi="Times New Roman" w:cs="Times New Roman" w:eastAsia="Times New Roman"/>
          <w:color w:val="auto"/>
          <w:spacing w:val="0"/>
          <w:position w:val="0"/>
          <w:sz w:val="22"/>
          <w:shd w:fill="auto" w:val="clear"/>
        </w:rPr>
        <w:t xml:space="preserve">. v. 95, n. 9-10, p. 667-675, 2005; </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ISO, NBR. IEC 17025: Requisitos gerais para a competência de laboratórios de ensaio e calibração. Associação Brasileira de Normas Técnicas (ABNT), 2005;</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JAISHANKAR, M.; TSETEN, T.; ANBALAGAN, N.; MATHEW, B. B.; BEEREGOWDA, K. N. Toxicity, mechanism and health effects of some heavy metals. </w:t>
      </w:r>
      <w:r>
        <w:rPr>
          <w:rFonts w:ascii="Times New Roman" w:hAnsi="Times New Roman" w:cs="Times New Roman" w:eastAsia="Times New Roman"/>
          <w:b/>
          <w:color w:val="auto"/>
          <w:spacing w:val="0"/>
          <w:position w:val="0"/>
          <w:sz w:val="22"/>
          <w:shd w:fill="auto" w:val="clear"/>
        </w:rPr>
        <w:t xml:space="preserve">Interdisciplinary toxicology</w:t>
      </w:r>
      <w:r>
        <w:rPr>
          <w:rFonts w:ascii="Times New Roman" w:hAnsi="Times New Roman" w:cs="Times New Roman" w:eastAsia="Times New Roman"/>
          <w:color w:val="auto"/>
          <w:spacing w:val="0"/>
          <w:position w:val="0"/>
          <w:sz w:val="22"/>
          <w:shd w:fill="auto" w:val="clear"/>
        </w:rPr>
        <w:t xml:space="preserve">, v. 7, n. 2, p. 60-72, 2014;</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JARDIM, W. F. Medição e interpretação de valores do potencial redox (Eh) em matrizes ambientais. </w:t>
      </w:r>
      <w:r>
        <w:rPr>
          <w:rFonts w:ascii="Times New Roman" w:hAnsi="Times New Roman" w:cs="Times New Roman" w:eastAsia="Times New Roman"/>
          <w:b/>
          <w:color w:val="auto"/>
          <w:spacing w:val="0"/>
          <w:position w:val="0"/>
          <w:sz w:val="22"/>
          <w:shd w:fill="auto" w:val="clear"/>
        </w:rPr>
        <w:t xml:space="preserve">Química Nova</w:t>
      </w:r>
      <w:r>
        <w:rPr>
          <w:rFonts w:ascii="Times New Roman" w:hAnsi="Times New Roman" w:cs="Times New Roman" w:eastAsia="Times New Roman"/>
          <w:color w:val="auto"/>
          <w:spacing w:val="0"/>
          <w:position w:val="0"/>
          <w:sz w:val="22"/>
          <w:shd w:fill="auto" w:val="clear"/>
        </w:rPr>
        <w:t xml:space="preserve">. v. 37, n. 7, p. 1233-1235, 2014. </w:t>
      </w:r>
      <w:hyperlink xmlns:r="http://schemas.openxmlformats.org/officeDocument/2006/relationships" r:id="docRId23">
        <w:r>
          <w:rPr>
            <w:rFonts w:ascii="Times New Roman" w:hAnsi="Times New Roman" w:cs="Times New Roman" w:eastAsia="Times New Roman"/>
            <w:color w:val="0000FF"/>
            <w:spacing w:val="0"/>
            <w:position w:val="0"/>
            <w:sz w:val="22"/>
            <w:u w:val="single"/>
            <w:shd w:fill="auto" w:val="clear"/>
          </w:rPr>
          <w:t xml:space="preserve">http://dx.doi.org/10.5935/0100-4042.20140207</w:t>
        </w:r>
      </w:hyperlink>
      <w:r>
        <w:rPr>
          <w:rFonts w:ascii="Times New Roman" w:hAnsi="Times New Roman" w:cs="Times New Roman" w:eastAsia="Times New Roman"/>
          <w:color w:val="auto"/>
          <w:spacing w:val="0"/>
          <w:position w:val="0"/>
          <w:sz w:val="22"/>
          <w:shd w:fill="auto" w:val="clear"/>
        </w:rPr>
        <w:t xml:space="preserve">.</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JIANG, G. C.; ASCHNER, M. Neurotoxicity of depleted uranium: reasons for increased concern. </w:t>
      </w:r>
      <w:r>
        <w:rPr>
          <w:rFonts w:ascii="Times New Roman" w:hAnsi="Times New Roman" w:cs="Times New Roman" w:eastAsia="Times New Roman"/>
          <w:b/>
          <w:color w:val="auto"/>
          <w:spacing w:val="0"/>
          <w:position w:val="0"/>
          <w:sz w:val="22"/>
          <w:shd w:fill="auto" w:val="clear"/>
        </w:rPr>
        <w:t xml:space="preserve">Biological Trace Element Research</w:t>
      </w:r>
      <w:r>
        <w:rPr>
          <w:rFonts w:ascii="Times New Roman" w:hAnsi="Times New Roman" w:cs="Times New Roman" w:eastAsia="Times New Roman"/>
          <w:color w:val="auto"/>
          <w:spacing w:val="0"/>
          <w:position w:val="0"/>
          <w:sz w:val="22"/>
          <w:shd w:fill="auto" w:val="clear"/>
        </w:rPr>
        <w:t xml:space="preserve">. v. 110, n. 1, p. 1-17, 2006;</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JIMENEZ, R. S.; DAL BOSCO, S. M.; CARVALHO, W. A. Remoção de metais pesados de efluentes aquosos pela zeólita natural escolecita</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influ</w:t>
      </w:r>
      <w:r>
        <w:rPr>
          <w:rFonts w:ascii="Times New Roman" w:hAnsi="Times New Roman" w:cs="Times New Roman" w:eastAsia="Times New Roman"/>
          <w:color w:val="auto"/>
          <w:spacing w:val="0"/>
          <w:position w:val="0"/>
          <w:sz w:val="22"/>
          <w:shd w:fill="auto" w:val="clear"/>
        </w:rPr>
        <w:t xml:space="preserve">ência da temperatura e do pH na adsorção em sistemas monoelementares. </w:t>
      </w:r>
      <w:r>
        <w:rPr>
          <w:rFonts w:ascii="Times New Roman" w:hAnsi="Times New Roman" w:cs="Times New Roman" w:eastAsia="Times New Roman"/>
          <w:b/>
          <w:color w:val="auto"/>
          <w:spacing w:val="0"/>
          <w:position w:val="0"/>
          <w:sz w:val="22"/>
          <w:shd w:fill="auto" w:val="clear"/>
        </w:rPr>
        <w:t xml:space="preserve">Química nova</w:t>
      </w:r>
      <w:r>
        <w:rPr>
          <w:rFonts w:ascii="Times New Roman" w:hAnsi="Times New Roman" w:cs="Times New Roman" w:eastAsia="Times New Roman"/>
          <w:color w:val="auto"/>
          <w:spacing w:val="0"/>
          <w:position w:val="0"/>
          <w:sz w:val="22"/>
          <w:shd w:fill="auto" w:val="clear"/>
        </w:rPr>
        <w:t xml:space="preserve">, v. 27, n. 5, p. 734-738, 2004;</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KABATA- PENDIA, A; PENDIAS, H. Trace Elements in Soils and Plants. Boca Raton, FL: 3rd, editor CRC Press; 2000;</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KÄKELÄ, R. A.; KÄKELÄ, A.; HYVARINEN, H. Effects of nickel chloride on reproduction of the rat and possible antagonistic role of selenium. </w:t>
      </w:r>
      <w:r>
        <w:rPr>
          <w:rFonts w:ascii="Times New Roman" w:hAnsi="Times New Roman" w:cs="Times New Roman" w:eastAsia="Times New Roman"/>
          <w:b/>
          <w:color w:val="auto"/>
          <w:spacing w:val="0"/>
          <w:position w:val="0"/>
          <w:sz w:val="22"/>
          <w:shd w:fill="auto" w:val="clear"/>
        </w:rPr>
        <w:t xml:space="preserve">Comparative Biochemistry and Physiology and Pharmacology and Toxicology and Endocrinology</w:t>
      </w:r>
      <w:r>
        <w:rPr>
          <w:rFonts w:ascii="Times New Roman" w:hAnsi="Times New Roman" w:cs="Times New Roman" w:eastAsia="Times New Roman"/>
          <w:color w:val="auto"/>
          <w:spacing w:val="0"/>
          <w:position w:val="0"/>
          <w:sz w:val="22"/>
          <w:shd w:fill="auto" w:val="clear"/>
        </w:rPr>
        <w:t xml:space="preserve">. v. 123, p. 27-37, 1999;</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KHLIFI, R.; HAMZA-CHAFFAI, A. Head and neck cancer due to heavy metal exposure via tobacco smoking and professional exposure: a review. </w:t>
      </w:r>
      <w:r>
        <w:rPr>
          <w:rFonts w:ascii="Times New Roman" w:hAnsi="Times New Roman" w:cs="Times New Roman" w:eastAsia="Times New Roman"/>
          <w:b/>
          <w:color w:val="auto"/>
          <w:spacing w:val="0"/>
          <w:position w:val="0"/>
          <w:sz w:val="22"/>
          <w:shd w:fill="auto" w:val="clear"/>
        </w:rPr>
        <w:t xml:space="preserve">Toxicology and Applied Pharmacology.</w:t>
      </w:r>
      <w:r>
        <w:rPr>
          <w:rFonts w:ascii="Times New Roman" w:hAnsi="Times New Roman" w:cs="Times New Roman" w:eastAsia="Times New Roman"/>
          <w:color w:val="auto"/>
          <w:spacing w:val="0"/>
          <w:position w:val="0"/>
          <w:sz w:val="22"/>
          <w:shd w:fill="auto" w:val="clear"/>
        </w:rPr>
        <w:t xml:space="preserve"> v. 248, n. 2, p. 71-88, 2010; </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KLJAKOVI</w:t>
      </w:r>
      <w:r>
        <w:rPr>
          <w:rFonts w:ascii="Times New Roman" w:hAnsi="Times New Roman" w:cs="Times New Roman" w:eastAsia="Times New Roman"/>
          <w:color w:val="auto"/>
          <w:spacing w:val="0"/>
          <w:position w:val="0"/>
          <w:sz w:val="22"/>
          <w:shd w:fill="auto" w:val="clear"/>
        </w:rPr>
        <w:t xml:space="preserve">Ć-GAŠPIĆ, Z.; BOGNER, D.; UJEVIĆ, I. Trace metals (Cd, Pb, Cu, Zn and Ni) in sediment of the submarine pit Dragon ear (Soline Bay, Rogoznica, Croatia). </w:t>
      </w:r>
      <w:r>
        <w:rPr>
          <w:rFonts w:ascii="Times New Roman" w:hAnsi="Times New Roman" w:cs="Times New Roman" w:eastAsia="Times New Roman"/>
          <w:b/>
          <w:color w:val="auto"/>
          <w:spacing w:val="0"/>
          <w:position w:val="0"/>
          <w:sz w:val="22"/>
          <w:shd w:fill="auto" w:val="clear"/>
        </w:rPr>
        <w:t xml:space="preserve">Environmental geology</w:t>
      </w:r>
      <w:r>
        <w:rPr>
          <w:rFonts w:ascii="Times New Roman" w:hAnsi="Times New Roman" w:cs="Times New Roman" w:eastAsia="Times New Roman"/>
          <w:color w:val="auto"/>
          <w:spacing w:val="0"/>
          <w:position w:val="0"/>
          <w:sz w:val="22"/>
          <w:shd w:fill="auto" w:val="clear"/>
        </w:rPr>
        <w:t xml:space="preserve">. v. 58, n. 4, p. 751, 2009;</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KOCHIAN, L. V.; PIÑEROS, M. A.; HOEKENGA, O. A. The physiology, genetics and molecular biology of plant aluminum resistance and toxicity. </w:t>
      </w:r>
      <w:r>
        <w:rPr>
          <w:rFonts w:ascii="Times New Roman" w:hAnsi="Times New Roman" w:cs="Times New Roman" w:eastAsia="Times New Roman"/>
          <w:b/>
          <w:color w:val="auto"/>
          <w:spacing w:val="0"/>
          <w:position w:val="0"/>
          <w:sz w:val="22"/>
          <w:shd w:fill="auto" w:val="clear"/>
        </w:rPr>
        <w:t xml:space="preserve">Plant and Soil</w:t>
      </w:r>
      <w:r>
        <w:rPr>
          <w:rFonts w:ascii="Times New Roman" w:hAnsi="Times New Roman" w:cs="Times New Roman" w:eastAsia="Times New Roman"/>
          <w:color w:val="auto"/>
          <w:spacing w:val="0"/>
          <w:position w:val="0"/>
          <w:sz w:val="22"/>
          <w:shd w:fill="auto" w:val="clear"/>
        </w:rPr>
        <w:t xml:space="preserve">. v. 274, p. 175-195, 2005;</w:t>
      </w:r>
    </w:p>
    <w:p>
      <w:pPr>
        <w:spacing w:before="120" w:after="120" w:line="24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LACERDA, L. D.; PFEIFFER, W. C.; FISZMAN, M. Heavy metal distribution, availability and fate in Sepetiba Bay, S.E. Brazil. </w:t>
      </w:r>
      <w:r>
        <w:rPr>
          <w:rFonts w:ascii="Times New Roman" w:hAnsi="Times New Roman" w:cs="Times New Roman" w:eastAsia="Times New Roman"/>
          <w:b/>
          <w:color w:val="auto"/>
          <w:spacing w:val="0"/>
          <w:position w:val="0"/>
          <w:sz w:val="22"/>
          <w:shd w:fill="auto" w:val="clear"/>
        </w:rPr>
        <w:t xml:space="preserve">Science of The Total Environment.</w:t>
      </w:r>
      <w:r>
        <w:rPr>
          <w:rFonts w:ascii="Times New Roman" w:hAnsi="Times New Roman" w:cs="Times New Roman" w:eastAsia="Times New Roman"/>
          <w:color w:val="auto"/>
          <w:spacing w:val="0"/>
          <w:position w:val="0"/>
          <w:sz w:val="22"/>
          <w:shd w:fill="auto" w:val="clear"/>
        </w:rPr>
        <w:t xml:space="preserve"> v. 65, p. 163-173, 1897. </w:t>
      </w:r>
      <w:hyperlink xmlns:r="http://schemas.openxmlformats.org/officeDocument/2006/relationships" r:id="docRId24">
        <w:r>
          <w:rPr>
            <w:rFonts w:ascii="Times New Roman" w:hAnsi="Times New Roman" w:cs="Times New Roman" w:eastAsia="Times New Roman"/>
            <w:color w:val="0000FF"/>
            <w:spacing w:val="0"/>
            <w:position w:val="0"/>
            <w:sz w:val="22"/>
            <w:u w:val="single"/>
            <w:shd w:fill="auto" w:val="clear"/>
          </w:rPr>
          <w:t xml:space="preserve">https://doi.org/10.1016/0048-9697(87)90169-0</w:t>
        </w:r>
      </w:hyperlink>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222222"/>
          <w:spacing w:val="0"/>
          <w:position w:val="0"/>
          <w:sz w:val="22"/>
          <w:shd w:fill="FFFFFF" w:val="clear"/>
        </w:rPr>
        <w:t xml:space="preserve">LIMA, V. F.; MERÇON, F. Metais pesados no ensino de química. </w:t>
      </w:r>
      <w:r>
        <w:rPr>
          <w:rFonts w:ascii="Times New Roman" w:hAnsi="Times New Roman" w:cs="Times New Roman" w:eastAsia="Times New Roman"/>
          <w:b/>
          <w:color w:val="222222"/>
          <w:spacing w:val="0"/>
          <w:position w:val="0"/>
          <w:sz w:val="22"/>
          <w:shd w:fill="FFFFFF" w:val="clear"/>
        </w:rPr>
        <w:t xml:space="preserve">Química Nova na Escola</w:t>
      </w:r>
      <w:r>
        <w:rPr>
          <w:rFonts w:ascii="Times New Roman" w:hAnsi="Times New Roman" w:cs="Times New Roman" w:eastAsia="Times New Roman"/>
          <w:color w:val="222222"/>
          <w:spacing w:val="0"/>
          <w:position w:val="0"/>
          <w:sz w:val="22"/>
          <w:shd w:fill="FFFFFF" w:val="clear"/>
        </w:rPr>
        <w:t xml:space="preserve">, v. 33, n. 4, p. 199-205, 2011.</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LITHERATY, P.; NASSER ALI, L.; ZARBA, M. A.; ALI, M. A. </w:t>
      </w:r>
      <w:r>
        <w:rPr>
          <w:rFonts w:ascii="Times New Roman" w:hAnsi="Times New Roman" w:cs="Times New Roman" w:eastAsia="Times New Roman"/>
          <w:b/>
          <w:color w:val="auto"/>
          <w:spacing w:val="0"/>
          <w:position w:val="0"/>
          <w:sz w:val="22"/>
          <w:shd w:fill="auto" w:val="clear"/>
        </w:rPr>
        <w:t xml:space="preserve">Water Science &amp; Technology</w:t>
      </w:r>
      <w:r>
        <w:rPr>
          <w:rFonts w:ascii="Times New Roman" w:hAnsi="Times New Roman" w:cs="Times New Roman" w:eastAsia="Times New Roman"/>
          <w:color w:val="auto"/>
          <w:spacing w:val="0"/>
          <w:position w:val="0"/>
          <w:sz w:val="22"/>
          <w:shd w:fill="auto" w:val="clear"/>
        </w:rPr>
        <w:t xml:space="preserve">. v. 19, n 5-6, p. 781-792, 1987;</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LOUREIRO, D. D.; TORTOZA, J.; HERMS, F. W. Distribuição espacial de metais pesados no sedimento superficial da Baía de Sepetiba, RJ. </w:t>
      </w:r>
      <w:r>
        <w:rPr>
          <w:rFonts w:ascii="Times New Roman" w:hAnsi="Times New Roman" w:cs="Times New Roman" w:eastAsia="Times New Roman"/>
          <w:b/>
          <w:color w:val="auto"/>
          <w:spacing w:val="0"/>
          <w:position w:val="0"/>
          <w:sz w:val="22"/>
          <w:shd w:fill="auto" w:val="clear"/>
        </w:rPr>
        <w:t xml:space="preserve">IX Congresso da Associação Brasileira de Estudos do Quaternário</w:t>
      </w:r>
      <w:r>
        <w:rPr>
          <w:rFonts w:ascii="Times New Roman" w:hAnsi="Times New Roman" w:cs="Times New Roman" w:eastAsia="Times New Roman"/>
          <w:color w:val="auto"/>
          <w:spacing w:val="0"/>
          <w:position w:val="0"/>
          <w:sz w:val="22"/>
          <w:shd w:fill="auto" w:val="clear"/>
        </w:rPr>
        <w:t xml:space="preserve">. 2003;</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LÜ, D.; ZHENG, B.; FANG, Y.; SHEN, G; LIU, H. Distribution and pollution assessment of trace metals in seawater and sediment in Laizhou Bay. </w:t>
      </w:r>
      <w:r>
        <w:rPr>
          <w:rFonts w:ascii="Times New Roman" w:hAnsi="Times New Roman" w:cs="Times New Roman" w:eastAsia="Times New Roman"/>
          <w:b/>
          <w:color w:val="auto"/>
          <w:spacing w:val="0"/>
          <w:position w:val="0"/>
          <w:sz w:val="22"/>
          <w:shd w:fill="auto" w:val="clear"/>
        </w:rPr>
        <w:t xml:space="preserve">Chinese journal of oceanology and limnology.</w:t>
      </w:r>
      <w:r>
        <w:rPr>
          <w:rFonts w:ascii="Times New Roman" w:hAnsi="Times New Roman" w:cs="Times New Roman" w:eastAsia="Times New Roman"/>
          <w:color w:val="auto"/>
          <w:spacing w:val="0"/>
          <w:position w:val="0"/>
          <w:sz w:val="22"/>
          <w:shd w:fill="auto" w:val="clear"/>
        </w:rPr>
        <w:t xml:space="preserve"> v. 33, n. 4, p. 1053-1061, 2015;</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MAGALHÃES, V. F.; CARVALHO, C. E. V.; PFEIFFER, W. C. Arsenic contamination and dispersion in the Engenho Inlet, Sepetiba Bay, Se, Brazil. </w:t>
      </w:r>
      <w:r>
        <w:rPr>
          <w:rFonts w:ascii="Times New Roman" w:hAnsi="Times New Roman" w:cs="Times New Roman" w:eastAsia="Times New Roman"/>
          <w:b/>
          <w:color w:val="auto"/>
          <w:spacing w:val="0"/>
          <w:position w:val="0"/>
          <w:sz w:val="22"/>
          <w:shd w:fill="auto" w:val="clear"/>
        </w:rPr>
        <w:t xml:space="preserve">Water, Air, and Soil Pollution</w:t>
      </w:r>
      <w:r>
        <w:rPr>
          <w:rFonts w:ascii="Times New Roman" w:hAnsi="Times New Roman" w:cs="Times New Roman" w:eastAsia="Times New Roman"/>
          <w:color w:val="auto"/>
          <w:spacing w:val="0"/>
          <w:position w:val="0"/>
          <w:sz w:val="22"/>
          <w:shd w:fill="auto" w:val="clear"/>
        </w:rPr>
        <w:t xml:space="preserve">. v. 129, p. 83-90, 2001;</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MAIA, S. R. R. </w:t>
      </w:r>
      <w:r>
        <w:rPr>
          <w:rFonts w:ascii="Times New Roman" w:hAnsi="Times New Roman" w:cs="Times New Roman" w:eastAsia="Times New Roman"/>
          <w:b/>
          <w:color w:val="auto"/>
          <w:spacing w:val="0"/>
          <w:position w:val="0"/>
          <w:sz w:val="22"/>
          <w:shd w:fill="auto" w:val="clear"/>
        </w:rPr>
        <w:t xml:space="preserve">Distribuição e partição geoquímica de metais traço na costa norte de Fortaleza, CE</w:t>
      </w:r>
      <w:r>
        <w:rPr>
          <w:rFonts w:ascii="Times New Roman" w:hAnsi="Times New Roman" w:cs="Times New Roman" w:eastAsia="Times New Roman"/>
          <w:color w:val="auto"/>
          <w:spacing w:val="0"/>
          <w:position w:val="0"/>
          <w:sz w:val="22"/>
          <w:shd w:fill="auto" w:val="clear"/>
        </w:rPr>
        <w:t xml:space="preserve">. Instituto de Ciências do Mar, UFC, Fortaleza. 2004;</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MALINS, D. C. Chemical pollutants in sediments and diseases of bottom-dwelling fish in Puget Sound, Washington. </w:t>
      </w:r>
      <w:r>
        <w:rPr>
          <w:rFonts w:ascii="Times New Roman" w:hAnsi="Times New Roman" w:cs="Times New Roman" w:eastAsia="Times New Roman"/>
          <w:b/>
          <w:color w:val="auto"/>
          <w:spacing w:val="0"/>
          <w:position w:val="0"/>
          <w:sz w:val="22"/>
          <w:shd w:fill="auto" w:val="clear"/>
        </w:rPr>
        <w:t xml:space="preserve">Environmental Science &amp; Technology</w:t>
      </w:r>
      <w:r>
        <w:rPr>
          <w:rFonts w:ascii="Times New Roman" w:hAnsi="Times New Roman" w:cs="Times New Roman" w:eastAsia="Times New Roman"/>
          <w:color w:val="auto"/>
          <w:spacing w:val="0"/>
          <w:position w:val="0"/>
          <w:sz w:val="22"/>
          <w:shd w:fill="auto" w:val="clear"/>
        </w:rPr>
        <w:t xml:space="preserve">. v. 18, p. 705-713, 1984;</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MARQUES, J. S. J.; RANGEL, T. P.; BRITO, </w:t>
      </w:r>
      <w:r>
        <w:rPr>
          <w:rFonts w:ascii="Times New Roman" w:hAnsi="Times New Roman" w:cs="Times New Roman" w:eastAsia="Times New Roman"/>
          <w:color w:val="auto"/>
          <w:spacing w:val="0"/>
          <w:position w:val="0"/>
          <w:sz w:val="24"/>
          <w:shd w:fill="auto" w:val="clear"/>
        </w:rPr>
        <w:t xml:space="preserve">F. P.; ALMEIDA, M. G.; </w:t>
      </w:r>
      <w:r>
        <w:rPr>
          <w:rFonts w:ascii="Times New Roman" w:hAnsi="Times New Roman" w:cs="Times New Roman" w:eastAsia="Times New Roman"/>
          <w:color w:val="auto"/>
          <w:spacing w:val="0"/>
          <w:position w:val="0"/>
          <w:sz w:val="22"/>
          <w:shd w:fill="auto" w:val="clear"/>
        </w:rPr>
        <w:t xml:space="preserve">et al. Geoquímica de metais em sedimentos da zona estuarina do complexo industrial Porto de Suape, PE-Brasil. </w:t>
      </w:r>
      <w:r>
        <w:rPr>
          <w:rFonts w:ascii="Times New Roman" w:hAnsi="Times New Roman" w:cs="Times New Roman" w:eastAsia="Times New Roman"/>
          <w:b/>
          <w:color w:val="auto"/>
          <w:spacing w:val="0"/>
          <w:position w:val="0"/>
          <w:sz w:val="22"/>
          <w:shd w:fill="auto" w:val="clear"/>
        </w:rPr>
        <w:t xml:space="preserve">Journal of Integrated Coastal Zone Management</w:t>
      </w:r>
      <w:r>
        <w:rPr>
          <w:rFonts w:ascii="Times New Roman" w:hAnsi="Times New Roman" w:cs="Times New Roman" w:eastAsia="Times New Roman"/>
          <w:color w:val="auto"/>
          <w:spacing w:val="0"/>
          <w:position w:val="0"/>
          <w:sz w:val="22"/>
          <w:shd w:fill="auto" w:val="clear"/>
        </w:rPr>
        <w:t xml:space="preserve">. v. 11, n. 4, p. 379-387, 2011;</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MARTINS, C. A. S.; NOGUEIRA, N. O.; RIBEIRO, P. H.; RIGO, M. M.; CANDIDO, A. O. A dinâmica de metais-traço no solo. </w:t>
      </w:r>
      <w:r>
        <w:rPr>
          <w:rFonts w:ascii="Times New Roman" w:hAnsi="Times New Roman" w:cs="Times New Roman" w:eastAsia="Times New Roman"/>
          <w:b/>
          <w:color w:val="auto"/>
          <w:spacing w:val="0"/>
          <w:position w:val="0"/>
          <w:sz w:val="22"/>
          <w:shd w:fill="auto" w:val="clear"/>
        </w:rPr>
        <w:t xml:space="preserve">Revista Brasileira de Agrociência</w:t>
      </w:r>
      <w:r>
        <w:rPr>
          <w:rFonts w:ascii="Times New Roman" w:hAnsi="Times New Roman" w:cs="Times New Roman" w:eastAsia="Times New Roman"/>
          <w:color w:val="auto"/>
          <w:spacing w:val="0"/>
          <w:position w:val="0"/>
          <w:sz w:val="22"/>
          <w:shd w:fill="auto" w:val="clear"/>
        </w:rPr>
        <w:t xml:space="preserve">. v. 17, n. 3, p. 383-391, 2011;</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MASSABNI, C. A. Os metais e a saúde humana. </w:t>
      </w:r>
      <w:r>
        <w:rPr>
          <w:rFonts w:ascii="Times New Roman" w:hAnsi="Times New Roman" w:cs="Times New Roman" w:eastAsia="Times New Roman"/>
          <w:b/>
          <w:color w:val="auto"/>
          <w:spacing w:val="0"/>
          <w:position w:val="0"/>
          <w:sz w:val="22"/>
          <w:shd w:fill="auto" w:val="clear"/>
        </w:rPr>
        <w:t xml:space="preserve">Conselho regional de química-IV Região</w:t>
      </w:r>
      <w:r>
        <w:rPr>
          <w:rFonts w:ascii="Times New Roman" w:hAnsi="Times New Roman" w:cs="Times New Roman" w:eastAsia="Times New Roman"/>
          <w:color w:val="auto"/>
          <w:spacing w:val="0"/>
          <w:position w:val="0"/>
          <w:sz w:val="22"/>
          <w:shd w:fill="auto" w:val="clear"/>
        </w:rPr>
        <w:t xml:space="preserve">, 2006; Disponível em: </w:t>
      </w:r>
      <w:hyperlink xmlns:r="http://schemas.openxmlformats.org/officeDocument/2006/relationships" r:id="docRId25">
        <w:r>
          <w:rPr>
            <w:rFonts w:ascii="Times New Roman" w:hAnsi="Times New Roman" w:cs="Times New Roman" w:eastAsia="Times New Roman"/>
            <w:color w:val="0000FF"/>
            <w:spacing w:val="0"/>
            <w:position w:val="0"/>
            <w:sz w:val="22"/>
            <w:u w:val="single"/>
            <w:shd w:fill="auto" w:val="clear"/>
          </w:rPr>
          <w:t xml:space="preserve">https://www.crq4.org.br/quimica_viva__os_metais_e_a_saude_humana</w:t>
        </w:r>
      </w:hyperlink>
      <w:r>
        <w:rPr>
          <w:rFonts w:ascii="Times New Roman" w:hAnsi="Times New Roman" w:cs="Times New Roman" w:eastAsia="Times New Roman"/>
          <w:color w:val="auto"/>
          <w:spacing w:val="0"/>
          <w:position w:val="0"/>
          <w:sz w:val="22"/>
          <w:shd w:fill="auto" w:val="clear"/>
        </w:rPr>
        <w:t xml:space="preserve">;</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MOHANTY M, KUMAR PATRA H. Effect of ionic and chelate assisted hexavalent chromium on mung bean seedlings (Vigna Radiata l. Wilczek. Var k-851) during seedling growth. </w:t>
      </w:r>
      <w:r>
        <w:rPr>
          <w:rFonts w:ascii="Times New Roman" w:hAnsi="Times New Roman" w:cs="Times New Roman" w:eastAsia="Times New Roman"/>
          <w:b/>
          <w:color w:val="auto"/>
          <w:spacing w:val="0"/>
          <w:position w:val="0"/>
          <w:sz w:val="22"/>
          <w:shd w:fill="auto" w:val="clear"/>
        </w:rPr>
        <w:t xml:space="preserve">Journal of Stress Physiology &amp; Biochemistry.</w:t>
      </w:r>
      <w:r>
        <w:rPr>
          <w:rFonts w:ascii="Times New Roman" w:hAnsi="Times New Roman" w:cs="Times New Roman" w:eastAsia="Times New Roman"/>
          <w:color w:val="auto"/>
          <w:spacing w:val="0"/>
          <w:position w:val="0"/>
          <w:sz w:val="22"/>
          <w:shd w:fill="auto" w:val="clear"/>
        </w:rPr>
        <w:t xml:space="preserve"> v. 9, n. 2, p. 232-241, 2013;</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MOLISANI, M. M.; Marins, R. V.; Machado, W.; Paraquetti, H. H. M.; Bidone, E. D.; Lacerda, L. D. Environmental changes in Sepetiba Bay, SE Brazil. </w:t>
      </w:r>
      <w:r>
        <w:rPr>
          <w:rFonts w:ascii="Times New Roman" w:hAnsi="Times New Roman" w:cs="Times New Roman" w:eastAsia="Times New Roman"/>
          <w:b/>
          <w:color w:val="auto"/>
          <w:spacing w:val="0"/>
          <w:position w:val="0"/>
          <w:sz w:val="22"/>
          <w:shd w:fill="auto" w:val="clear"/>
        </w:rPr>
        <w:t xml:space="preserve">Regional Environmental Change</w:t>
      </w:r>
      <w:r>
        <w:rPr>
          <w:rFonts w:ascii="Times New Roman" w:hAnsi="Times New Roman" w:cs="Times New Roman" w:eastAsia="Times New Roman"/>
          <w:color w:val="auto"/>
          <w:spacing w:val="0"/>
          <w:position w:val="0"/>
          <w:sz w:val="22"/>
          <w:shd w:fill="auto" w:val="clear"/>
        </w:rPr>
        <w:t xml:space="preserve">. v. 4, n. 1, p. 17-27, 2004;</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MORAIS, S.; COSTA, F. G.; PEREIRA, M. L. Heavy metals and human health. </w:t>
      </w:r>
      <w:r>
        <w:rPr>
          <w:rFonts w:ascii="Times New Roman" w:hAnsi="Times New Roman" w:cs="Times New Roman" w:eastAsia="Times New Roman"/>
          <w:b/>
          <w:color w:val="auto"/>
          <w:spacing w:val="0"/>
          <w:position w:val="0"/>
          <w:sz w:val="22"/>
          <w:shd w:fill="auto" w:val="clear"/>
        </w:rPr>
        <w:t xml:space="preserve">Environmental health</w:t>
      </w:r>
      <w:r>
        <w:rPr>
          <w:rFonts w:ascii="Times New Roman" w:hAnsi="Times New Roman" w:cs="Times New Roman" w:eastAsia="Times New Roman"/>
          <w:b/>
          <w:color w:val="auto"/>
          <w:spacing w:val="0"/>
          <w:position w:val="0"/>
          <w:sz w:val="22"/>
          <w:shd w:fill="auto" w:val="clear"/>
        </w:rPr>
        <w:t xml:space="preserve">–</w:t>
      </w:r>
      <w:r>
        <w:rPr>
          <w:rFonts w:ascii="Times New Roman" w:hAnsi="Times New Roman" w:cs="Times New Roman" w:eastAsia="Times New Roman"/>
          <w:b/>
          <w:color w:val="auto"/>
          <w:spacing w:val="0"/>
          <w:position w:val="0"/>
          <w:sz w:val="22"/>
          <w:shd w:fill="auto" w:val="clear"/>
        </w:rPr>
        <w:t xml:space="preserve">emerging issues and practice</w:t>
      </w:r>
      <w:r>
        <w:rPr>
          <w:rFonts w:ascii="Times New Roman" w:hAnsi="Times New Roman" w:cs="Times New Roman" w:eastAsia="Times New Roman"/>
          <w:color w:val="auto"/>
          <w:spacing w:val="0"/>
          <w:position w:val="0"/>
          <w:sz w:val="22"/>
          <w:shd w:fill="auto" w:val="clear"/>
        </w:rPr>
        <w:t xml:space="preserve">. v. 10, p. 227-246, 2012;</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MONTASER, A. </w:t>
      </w:r>
      <w:r>
        <w:rPr>
          <w:rFonts w:ascii="Times New Roman" w:hAnsi="Times New Roman" w:cs="Times New Roman" w:eastAsia="Times New Roman"/>
          <w:b/>
          <w:color w:val="auto"/>
          <w:spacing w:val="0"/>
          <w:position w:val="0"/>
          <w:sz w:val="22"/>
          <w:shd w:fill="auto" w:val="clear"/>
        </w:rPr>
        <w:t xml:space="preserve">Inductively Couple Plasma Mass Spectrometry</w:t>
      </w:r>
      <w:r>
        <w:rPr>
          <w:rFonts w:ascii="Times New Roman" w:hAnsi="Times New Roman" w:cs="Times New Roman" w:eastAsia="Times New Roman"/>
          <w:color w:val="auto"/>
          <w:spacing w:val="0"/>
          <w:position w:val="0"/>
          <w:sz w:val="22"/>
          <w:shd w:fill="auto" w:val="clear"/>
        </w:rPr>
        <w:t xml:space="preserve">, Ed. Wiley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VCH, USA, 1998;</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MUDHOO, A.; SHARMA, S. K.; GARG, V. K.; TSENG, C-H. Arsenic: an overview of applications, health, and environmental concerns and removal processes. </w:t>
      </w:r>
      <w:r>
        <w:rPr>
          <w:rFonts w:ascii="Times New Roman" w:hAnsi="Times New Roman" w:cs="Times New Roman" w:eastAsia="Times New Roman"/>
          <w:b/>
          <w:color w:val="auto"/>
          <w:spacing w:val="0"/>
          <w:position w:val="0"/>
          <w:sz w:val="22"/>
          <w:shd w:fill="auto" w:val="clear"/>
        </w:rPr>
        <w:t xml:space="preserve">Critical Reviews in Environmental Science &amp; Technology</w:t>
      </w:r>
      <w:r>
        <w:rPr>
          <w:rFonts w:ascii="Times New Roman" w:hAnsi="Times New Roman" w:cs="Times New Roman" w:eastAsia="Times New Roman"/>
          <w:color w:val="auto"/>
          <w:spacing w:val="0"/>
          <w:position w:val="0"/>
          <w:sz w:val="22"/>
          <w:shd w:fill="auto" w:val="clear"/>
        </w:rPr>
        <w:t xml:space="preserve">. v. 41, p. 435-519, 2011;</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NÚCLEO ECOLOGIAS, EPISTEMOLOGIAS E PROMOÇÃO EMANCIPATÓRIA DA SAÚDE; ESCOLA NACIONAL DE SAÚDE PÚBLICA SERGIO AROUCA; FUNDAÇÃO OSWALDO CRUZ - </w:t>
      </w:r>
      <w:r>
        <w:rPr>
          <w:rFonts w:ascii="Times New Roman" w:hAnsi="Times New Roman" w:cs="Times New Roman" w:eastAsia="Times New Roman"/>
          <w:color w:val="auto"/>
          <w:spacing w:val="0"/>
          <w:position w:val="0"/>
          <w:sz w:val="24"/>
          <w:shd w:fill="auto" w:val="clear"/>
        </w:rPr>
        <w:t xml:space="preserve">ENSP FIOCRUZ</w:t>
      </w:r>
      <w:r>
        <w:rPr>
          <w:rFonts w:ascii="Times New Roman" w:hAnsi="Times New Roman" w:cs="Times New Roman" w:eastAsia="Times New Roman"/>
          <w:color w:val="auto"/>
          <w:spacing w:val="0"/>
          <w:position w:val="0"/>
          <w:sz w:val="22"/>
          <w:shd w:fill="auto" w:val="clear"/>
        </w:rPr>
        <w:t xml:space="preserve">. Mapa de conflitos envolvendo injustiça ambiental e saúde no Brasil. 2019.Disponível em: </w:t>
      </w:r>
      <w:hyperlink xmlns:r="http://schemas.openxmlformats.org/officeDocument/2006/relationships" r:id="docRId26">
        <w:r>
          <w:rPr>
            <w:rFonts w:ascii="Times New Roman" w:hAnsi="Times New Roman" w:cs="Times New Roman" w:eastAsia="Times New Roman"/>
            <w:color w:val="0000FF"/>
            <w:spacing w:val="0"/>
            <w:position w:val="0"/>
            <w:sz w:val="22"/>
            <w:u w:val="single"/>
            <w:shd w:fill="auto" w:val="clear"/>
          </w:rPr>
          <w:t xml:space="preserve">http://mapadeconflitos.ensp.fiocruz.br/?conflito=rj-pescadores-artesanais-quilombolas-e-outros-moradores-do-entorno-da-baia-de-sepetiba-sem-peixes-expostos-a-contaminacoes-e-ameacados-por-milicias-ligadas-a-empreendimentos-em-construcao</w:t>
        </w:r>
      </w:hyperlink>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OBONE, E.; CHAKRABARTI, S. K.; BAI, C.; MALICK, M. A.; LAMONTAGNE, L.; SUBRAMANIAN, K. S. Toxicity and bioaccumulation of nickel sulfate in sprague-dawley rats following 13 weeks of subchronic exposure, </w:t>
      </w:r>
      <w:r>
        <w:rPr>
          <w:rFonts w:ascii="Times New Roman" w:hAnsi="Times New Roman" w:cs="Times New Roman" w:eastAsia="Times New Roman"/>
          <w:b/>
          <w:color w:val="auto"/>
          <w:spacing w:val="0"/>
          <w:position w:val="0"/>
          <w:sz w:val="22"/>
          <w:shd w:fill="auto" w:val="clear"/>
        </w:rPr>
        <w:t xml:space="preserve">Journal of Toxicology and Environmental Health, Part A</w:t>
      </w:r>
      <w:r>
        <w:rPr>
          <w:rFonts w:ascii="Times New Roman" w:hAnsi="Times New Roman" w:cs="Times New Roman" w:eastAsia="Times New Roman"/>
          <w:color w:val="auto"/>
          <w:spacing w:val="0"/>
          <w:position w:val="0"/>
          <w:sz w:val="22"/>
          <w:shd w:fill="auto" w:val="clear"/>
        </w:rPr>
        <w:t xml:space="preserve">. v. 57, n. 6, p. 379-401, 1999. DOI: 10.1080/009841099157593 </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OFFICE OF ENVIRONMENTAL HEALTH HAZARD ASSESSMENT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OEHHA. Arsenic Public Health Goal Technical Support Document. Public health goals for chemicals in drinking water arsenic., </w:t>
      </w:r>
      <w:r>
        <w:rPr>
          <w:rFonts w:ascii="Times New Roman" w:hAnsi="Times New Roman" w:cs="Times New Roman" w:eastAsia="Times New Roman"/>
          <w:b/>
          <w:color w:val="auto"/>
          <w:spacing w:val="0"/>
          <w:position w:val="0"/>
          <w:sz w:val="22"/>
          <w:shd w:fill="auto" w:val="clear"/>
        </w:rPr>
        <w:t xml:space="preserve">California Environmental Protection Agency</w:t>
      </w:r>
      <w:r>
        <w:rPr>
          <w:rFonts w:ascii="Times New Roman" w:hAnsi="Times New Roman" w:cs="Times New Roman" w:eastAsia="Times New Roman"/>
          <w:color w:val="auto"/>
          <w:spacing w:val="0"/>
          <w:position w:val="0"/>
          <w:sz w:val="22"/>
          <w:shd w:fill="auto" w:val="clear"/>
        </w:rPr>
        <w:t xml:space="preserve">, 2004;</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OLANIRAN, A. O.; BALGOBIND, A.; PILLAY, B. Bioavailability of heavy metals in soil: impact on microbial biodegradation of organic compounds and possible improvement strategies. International journal of molecular Science, v. 14, n. 5, p. 10197-10228, 2013; </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ONOFRE, C. R. E.; CELINO, J. J.; NANO, R. M. W.; QUEIROZ, A. F. S. Biodisponibilidade de metais traços nos sedimentos de manguezais da porção norte da Baía de Todos os Santos, Bahia, Brasil. </w:t>
      </w:r>
      <w:r>
        <w:rPr>
          <w:rFonts w:ascii="Times New Roman" w:hAnsi="Times New Roman" w:cs="Times New Roman" w:eastAsia="Times New Roman"/>
          <w:b/>
          <w:color w:val="auto"/>
          <w:spacing w:val="0"/>
          <w:position w:val="0"/>
          <w:sz w:val="22"/>
          <w:shd w:fill="auto" w:val="clear"/>
        </w:rPr>
        <w:t xml:space="preserve">Revista de biologia e ciências da terra</w:t>
      </w:r>
      <w:r>
        <w:rPr>
          <w:rFonts w:ascii="Times New Roman" w:hAnsi="Times New Roman" w:cs="Times New Roman" w:eastAsia="Times New Roman"/>
          <w:color w:val="auto"/>
          <w:spacing w:val="0"/>
          <w:position w:val="0"/>
          <w:sz w:val="22"/>
          <w:shd w:fill="auto" w:val="clear"/>
        </w:rPr>
        <w:t xml:space="preserve">. v. 7, n. 2, p. 65-82, 2007;</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PEKEY, H. Heavy metal pollution assessment in sediments of the Izmit Bay, Turkey. </w:t>
      </w:r>
      <w:r>
        <w:rPr>
          <w:rFonts w:ascii="Times New Roman" w:hAnsi="Times New Roman" w:cs="Times New Roman" w:eastAsia="Times New Roman"/>
          <w:b/>
          <w:color w:val="auto"/>
          <w:spacing w:val="0"/>
          <w:position w:val="0"/>
          <w:sz w:val="22"/>
          <w:shd w:fill="auto" w:val="clear"/>
        </w:rPr>
        <w:t xml:space="preserve">Environmental Monitoring and Assessment.</w:t>
      </w:r>
      <w:r>
        <w:rPr>
          <w:rFonts w:ascii="Times New Roman" w:hAnsi="Times New Roman" w:cs="Times New Roman" w:eastAsia="Times New Roman"/>
          <w:color w:val="auto"/>
          <w:spacing w:val="0"/>
          <w:position w:val="0"/>
          <w:sz w:val="22"/>
          <w:shd w:fill="auto" w:val="clear"/>
        </w:rPr>
        <w:t xml:space="preserve"> v. 123, n. 1-3, p. 219-231, 2006;</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PEMPKOWIAK, J.; SIKORA, A.; BIERNACKA, E. Speciation of heavy metals in marine sediments vs their bioaccumulation by mussels. </w:t>
      </w:r>
      <w:r>
        <w:rPr>
          <w:rFonts w:ascii="Times New Roman" w:hAnsi="Times New Roman" w:cs="Times New Roman" w:eastAsia="Times New Roman"/>
          <w:b/>
          <w:color w:val="auto"/>
          <w:spacing w:val="0"/>
          <w:position w:val="0"/>
          <w:sz w:val="22"/>
          <w:shd w:fill="auto" w:val="clear"/>
        </w:rPr>
        <w:t xml:space="preserve">Chemosphere</w:t>
      </w:r>
      <w:r>
        <w:rPr>
          <w:rFonts w:ascii="Times New Roman" w:hAnsi="Times New Roman" w:cs="Times New Roman" w:eastAsia="Times New Roman"/>
          <w:color w:val="auto"/>
          <w:spacing w:val="0"/>
          <w:position w:val="0"/>
          <w:sz w:val="22"/>
          <w:shd w:fill="auto" w:val="clear"/>
        </w:rPr>
        <w:t xml:space="preserve">. v. 39, nº 2, p. 313-321, 1999; </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PERES, T. V.; SCHETTINGER, M. R.; CHEN, P.; CARVALHO, F.; AVILA, D. S.; BOWMAN, A. B.; ASCHNER, M. Manganese-induced neurotoxicity: a review of its behavioral consequences and neuroprotective strategies. </w:t>
      </w:r>
      <w:r>
        <w:rPr>
          <w:rFonts w:ascii="Times New Roman" w:hAnsi="Times New Roman" w:cs="Times New Roman" w:eastAsia="Times New Roman"/>
          <w:b/>
          <w:color w:val="auto"/>
          <w:spacing w:val="0"/>
          <w:position w:val="0"/>
          <w:sz w:val="22"/>
          <w:shd w:fill="auto" w:val="clear"/>
        </w:rPr>
        <w:t xml:space="preserve">BMC Pharmacology and Toxicology</w:t>
      </w:r>
      <w:r>
        <w:rPr>
          <w:rFonts w:ascii="Times New Roman" w:hAnsi="Times New Roman" w:cs="Times New Roman" w:eastAsia="Times New Roman"/>
          <w:color w:val="auto"/>
          <w:spacing w:val="0"/>
          <w:position w:val="0"/>
          <w:sz w:val="22"/>
          <w:shd w:fill="auto" w:val="clear"/>
        </w:rPr>
        <w:t xml:space="preserve">. v. 17, p. 1-20, 2016;</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PETERS, G. M.; MAHER, W. A.; KRIKOWA, F.; ROACH, A. C.; et al. Selenium in sediments, pore waters and benthic infauna of Lake Macquarie, New South Wales, Australia. </w:t>
      </w:r>
      <w:r>
        <w:rPr>
          <w:rFonts w:ascii="Times New Roman" w:hAnsi="Times New Roman" w:cs="Times New Roman" w:eastAsia="Times New Roman"/>
          <w:b/>
          <w:color w:val="auto"/>
          <w:spacing w:val="0"/>
          <w:position w:val="0"/>
          <w:sz w:val="22"/>
          <w:shd w:fill="auto" w:val="clear"/>
        </w:rPr>
        <w:t xml:space="preserve">Marine Environmental Research</w:t>
      </w:r>
      <w:r>
        <w:rPr>
          <w:rFonts w:ascii="Times New Roman" w:hAnsi="Times New Roman" w:cs="Times New Roman" w:eastAsia="Times New Roman"/>
          <w:color w:val="auto"/>
          <w:spacing w:val="0"/>
          <w:position w:val="0"/>
          <w:sz w:val="22"/>
          <w:shd w:fill="auto" w:val="clear"/>
        </w:rPr>
        <w:t xml:space="preserve">. v. 47, n. 5, p. 491-508, 1999;</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PETROBRAS_Avaliação de Impactos Cumulativos - Relatório Final. </w:t>
      </w:r>
      <w:r>
        <w:rPr>
          <w:rFonts w:ascii="Times New Roman" w:hAnsi="Times New Roman" w:cs="Times New Roman" w:eastAsia="Times New Roman"/>
          <w:i/>
          <w:color w:val="auto"/>
          <w:spacing w:val="0"/>
          <w:position w:val="0"/>
          <w:sz w:val="22"/>
          <w:shd w:fill="auto" w:val="clear"/>
        </w:rPr>
        <w:t xml:space="preserve">In:</w:t>
      </w:r>
      <w:r>
        <w:rPr>
          <w:rFonts w:ascii="Times New Roman" w:hAnsi="Times New Roman" w:cs="Times New Roman" w:eastAsia="Times New Roman"/>
          <w:color w:val="auto"/>
          <w:spacing w:val="0"/>
          <w:position w:val="0"/>
          <w:sz w:val="22"/>
          <w:shd w:fill="auto" w:val="clear"/>
        </w:rPr>
        <w:t xml:space="preserve"> Projeto de Avaliação de Impactos Cumulativos. 2019; Disponível </w:t>
      </w:r>
      <w:r>
        <w:rPr>
          <w:rFonts w:ascii="Times New Roman" w:hAnsi="Times New Roman" w:cs="Times New Roman" w:eastAsia="Times New Roman"/>
          <w:i/>
          <w:color w:val="auto"/>
          <w:spacing w:val="0"/>
          <w:position w:val="0"/>
          <w:sz w:val="22"/>
          <w:shd w:fill="auto" w:val="clear"/>
        </w:rPr>
        <w:t xml:space="preserve">online</w:t>
      </w:r>
      <w:r>
        <w:rPr>
          <w:rFonts w:ascii="Times New Roman" w:hAnsi="Times New Roman" w:cs="Times New Roman" w:eastAsia="Times New Roman"/>
          <w:color w:val="auto"/>
          <w:spacing w:val="0"/>
          <w:position w:val="0"/>
          <w:sz w:val="22"/>
          <w:shd w:fill="auto" w:val="clear"/>
        </w:rPr>
        <w:t xml:space="preserve">: </w:t>
      </w:r>
      <w:hyperlink xmlns:r="http://schemas.openxmlformats.org/officeDocument/2006/relationships" r:id="docRId27">
        <w:r>
          <w:rPr>
            <w:rFonts w:ascii="Times New Roman" w:hAnsi="Times New Roman" w:cs="Times New Roman" w:eastAsia="Times New Roman"/>
            <w:color w:val="0000FF"/>
            <w:spacing w:val="0"/>
            <w:position w:val="0"/>
            <w:sz w:val="24"/>
            <w:u w:val="single"/>
            <w:shd w:fill="auto" w:val="clear"/>
          </w:rPr>
          <w:t xml:space="preserve">https://www.comunicabaciadesantos.com.br/sites/default/files/RF4_R3-relatorio_rev0_abr2019.pdf</w:t>
        </w:r>
      </w:hyperlink>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REINFELDER, J. R.; FISHERB, N. S.; LUOMA, S. N.; NICHOLS, J. W.; WANG, W. -X. Trace element trophic transfer in aquatic organisms: a critique of the kinetic model approach. </w:t>
      </w:r>
      <w:r>
        <w:rPr>
          <w:rFonts w:ascii="Times New Roman" w:hAnsi="Times New Roman" w:cs="Times New Roman" w:eastAsia="Times New Roman"/>
          <w:b/>
          <w:color w:val="auto"/>
          <w:spacing w:val="0"/>
          <w:position w:val="0"/>
          <w:sz w:val="22"/>
          <w:shd w:fill="auto" w:val="clear"/>
        </w:rPr>
        <w:t xml:space="preserve">Science of the Total Environment</w:t>
      </w:r>
      <w:r>
        <w:rPr>
          <w:rFonts w:ascii="Times New Roman" w:hAnsi="Times New Roman" w:cs="Times New Roman" w:eastAsia="Times New Roman"/>
          <w:color w:val="auto"/>
          <w:spacing w:val="0"/>
          <w:position w:val="0"/>
          <w:sz w:val="22"/>
          <w:shd w:fill="auto" w:val="clear"/>
        </w:rPr>
        <w:t xml:space="preserve">, v. 219, n. 2-3, p. 117-135, 1998; </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RIBEIRO, A. P.; FIGUEIREDO, A. M. G.; SANTOS, J. O.; DANTAS, E.; COTRIM, M. E. B.; WASSERMAN, J. C. </w:t>
      </w:r>
      <w:r>
        <w:rPr>
          <w:rFonts w:ascii="Times New Roman" w:hAnsi="Times New Roman" w:cs="Times New Roman" w:eastAsia="Times New Roman"/>
          <w:b/>
          <w:color w:val="auto"/>
          <w:spacing w:val="0"/>
          <w:position w:val="0"/>
          <w:sz w:val="22"/>
          <w:shd w:fill="auto" w:val="clear"/>
        </w:rPr>
        <w:t xml:space="preserve">Principal component analysis applied to assessmetals and arsenic sources in Sepetiba Bay, Rio de Janeiro</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i/>
          <w:color w:val="auto"/>
          <w:spacing w:val="0"/>
          <w:position w:val="0"/>
          <w:sz w:val="22"/>
          <w:shd w:fill="auto" w:val="clear"/>
        </w:rPr>
        <w:t xml:space="preserve">In:</w:t>
      </w:r>
      <w:r>
        <w:rPr>
          <w:rFonts w:ascii="Times New Roman" w:hAnsi="Times New Roman" w:cs="Times New Roman" w:eastAsia="Times New Roman"/>
          <w:color w:val="auto"/>
          <w:spacing w:val="0"/>
          <w:position w:val="0"/>
          <w:sz w:val="22"/>
          <w:shd w:fill="auto" w:val="clear"/>
        </w:rPr>
        <w:t xml:space="preserve"> International Nuclear Atlantic Conference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INAC, Santos, SP, 2007;</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RIBEIRO, A. P.; FIGUEIREDO, A. M. G.; SANTOS, J. O.; DANTAS, E.; et al. Combined SEM/AVS and attenuation of concentration models for the assessment of bioavailability and mobility of metals in sediments of Sepetiba Bay (SE Brazil). </w:t>
      </w:r>
      <w:r>
        <w:rPr>
          <w:rFonts w:ascii="Times New Roman" w:hAnsi="Times New Roman" w:cs="Times New Roman" w:eastAsia="Times New Roman"/>
          <w:b/>
          <w:color w:val="auto"/>
          <w:spacing w:val="0"/>
          <w:position w:val="0"/>
          <w:sz w:val="22"/>
          <w:shd w:fill="auto" w:val="clear"/>
        </w:rPr>
        <w:t xml:space="preserve">Marine Pollution Bulletin</w:t>
      </w:r>
      <w:r>
        <w:rPr>
          <w:rFonts w:ascii="Times New Roman" w:hAnsi="Times New Roman" w:cs="Times New Roman" w:eastAsia="Times New Roman"/>
          <w:color w:val="auto"/>
          <w:spacing w:val="0"/>
          <w:position w:val="0"/>
          <w:sz w:val="22"/>
          <w:shd w:fill="auto" w:val="clear"/>
        </w:rPr>
        <w:t xml:space="preserve">, v. 68, n. 1-2, p. 55-63, 2013;</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ROCHA, D. S.; CUNHA, B. C. A. GERALDES, M. C.; PEREIRA, S. D.; ALMEIDA, A. C. M. Metais pesados em sedimentos da baía de Sepetiba, RJ: implicações sobre fontes e dinâmica da distribuição pelas correntes de maré. </w:t>
      </w:r>
      <w:r>
        <w:rPr>
          <w:rFonts w:ascii="Times New Roman" w:hAnsi="Times New Roman" w:cs="Times New Roman" w:eastAsia="Times New Roman"/>
          <w:b/>
          <w:color w:val="auto"/>
          <w:spacing w:val="0"/>
          <w:position w:val="0"/>
          <w:sz w:val="22"/>
          <w:shd w:fill="auto" w:val="clear"/>
        </w:rPr>
        <w:t xml:space="preserve">Geochimica Brasiliensis. </w:t>
      </w:r>
      <w:r>
        <w:rPr>
          <w:rFonts w:ascii="Times New Roman" w:hAnsi="Times New Roman" w:cs="Times New Roman" w:eastAsia="Times New Roman"/>
          <w:color w:val="auto"/>
          <w:spacing w:val="0"/>
          <w:position w:val="0"/>
          <w:sz w:val="22"/>
          <w:shd w:fill="auto" w:val="clear"/>
        </w:rPr>
        <w:t xml:space="preserve">v. 24, n. 1, p. 63-70, 2010;</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RODRIGUES, A. P. C.; MONTE, C.; PEREIRA, M.; QUARESMA, T. L. S.; POVA, R.; VIEIRA, T. C.; DIAZ, R. A.; MOREIRA, M.; MACHADO, W. Potential bioavailability of metals in coastal sediments from Sepetiba and Guanabara Bays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RJ, Brazil. </w:t>
      </w:r>
      <w:r>
        <w:rPr>
          <w:rFonts w:ascii="Times New Roman" w:hAnsi="Times New Roman" w:cs="Times New Roman" w:eastAsia="Times New Roman"/>
          <w:i/>
          <w:color w:val="auto"/>
          <w:spacing w:val="0"/>
          <w:position w:val="0"/>
          <w:sz w:val="22"/>
          <w:shd w:fill="auto" w:val="clear"/>
        </w:rPr>
        <w:t xml:space="preserve">In:</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b/>
          <w:color w:val="auto"/>
          <w:spacing w:val="0"/>
          <w:position w:val="0"/>
          <w:sz w:val="22"/>
          <w:shd w:fill="auto" w:val="clear"/>
        </w:rPr>
        <w:t xml:space="preserve">XIV Congresso de Geoquímica dos Países de Língua Portuguesa,</w:t>
      </w:r>
      <w:r>
        <w:rPr>
          <w:rFonts w:ascii="Times New Roman" w:hAnsi="Times New Roman" w:cs="Times New Roman" w:eastAsia="Times New Roman"/>
          <w:color w:val="auto"/>
          <w:spacing w:val="0"/>
          <w:position w:val="0"/>
          <w:sz w:val="22"/>
          <w:shd w:fill="auto" w:val="clear"/>
        </w:rPr>
        <w:t xml:space="preserve"> Vila Real, Portugal. 2017;</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RODRIGUES, R. P.; KNOPPERS, B. A.; DE SOUZA, W. F. L.; SANTOS, E. S. Suspended matter and nutrient gradients of a small-scale river plume in Sepetiba Bay, SE-Brazil. </w:t>
      </w:r>
      <w:r>
        <w:rPr>
          <w:rFonts w:ascii="Times New Roman" w:hAnsi="Times New Roman" w:cs="Times New Roman" w:eastAsia="Times New Roman"/>
          <w:b/>
          <w:color w:val="auto"/>
          <w:spacing w:val="0"/>
          <w:position w:val="0"/>
          <w:sz w:val="22"/>
          <w:shd w:fill="auto" w:val="clear"/>
        </w:rPr>
        <w:t xml:space="preserve">Brazilian Archives of Biology and Technology.</w:t>
      </w:r>
      <w:r>
        <w:rPr>
          <w:rFonts w:ascii="Times New Roman" w:hAnsi="Times New Roman" w:cs="Times New Roman" w:eastAsia="Times New Roman"/>
          <w:color w:val="auto"/>
          <w:spacing w:val="0"/>
          <w:position w:val="0"/>
          <w:sz w:val="22"/>
          <w:shd w:fill="auto" w:val="clear"/>
        </w:rPr>
        <w:t xml:space="preserve"> v. 52, n. 2, p. 503-512, 2009. </w:t>
      </w:r>
      <w:hyperlink xmlns:r="http://schemas.openxmlformats.org/officeDocument/2006/relationships" r:id="docRId28">
        <w:r>
          <w:rPr>
            <w:rFonts w:ascii="Times New Roman" w:hAnsi="Times New Roman" w:cs="Times New Roman" w:eastAsia="Times New Roman"/>
            <w:color w:val="0000FF"/>
            <w:spacing w:val="0"/>
            <w:position w:val="0"/>
            <w:sz w:val="22"/>
            <w:u w:val="single"/>
            <w:shd w:fill="auto" w:val="clear"/>
          </w:rPr>
          <w:t xml:space="preserve">https://doi.org/10.1590/S1516</w:t>
        </w:r>
      </w:hyperlink>
      <w:r>
        <w:rPr>
          <w:rFonts w:ascii="Times New Roman" w:hAnsi="Times New Roman" w:cs="Times New Roman" w:eastAsia="Times New Roman"/>
          <w:color w:val="auto"/>
          <w:spacing w:val="0"/>
          <w:position w:val="0"/>
          <w:sz w:val="22"/>
          <w:shd w:fill="auto" w:val="clear"/>
        </w:rPr>
        <w:t xml:space="preserve"> -89132 00900 02000 30.</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RODRIGUES-FILHO, S. </w:t>
      </w:r>
      <w:r>
        <w:rPr>
          <w:rFonts w:ascii="Times New Roman" w:hAnsi="Times New Roman" w:cs="Times New Roman" w:eastAsia="Times New Roman"/>
          <w:b/>
          <w:color w:val="auto"/>
          <w:spacing w:val="0"/>
          <w:position w:val="0"/>
          <w:sz w:val="22"/>
          <w:shd w:fill="auto" w:val="clear"/>
        </w:rPr>
        <w:t xml:space="preserve">Metais pesados nas sub-bacias hidrográficas de Poconé e Alta Floresta</w:t>
      </w:r>
      <w:r>
        <w:rPr>
          <w:rFonts w:ascii="Times New Roman" w:hAnsi="Times New Roman" w:cs="Times New Roman" w:eastAsia="Times New Roman"/>
          <w:color w:val="auto"/>
          <w:spacing w:val="0"/>
          <w:position w:val="0"/>
          <w:sz w:val="22"/>
          <w:shd w:fill="auto" w:val="clear"/>
        </w:rPr>
        <w:t xml:space="preserve"> (MT). Rio de Janeiro: Centro de Tecnologia Mineral, CETEM/MCT, p. 54, 1995;</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SÁ, F. </w:t>
      </w:r>
      <w:r>
        <w:rPr>
          <w:rFonts w:ascii="Times New Roman" w:hAnsi="Times New Roman" w:cs="Times New Roman" w:eastAsia="Times New Roman"/>
          <w:b/>
          <w:color w:val="auto"/>
          <w:spacing w:val="0"/>
          <w:position w:val="0"/>
          <w:sz w:val="22"/>
          <w:shd w:fill="auto" w:val="clear"/>
        </w:rPr>
        <w:t xml:space="preserve">Distribuição e fracionamento de contaminantes nos sedimentos superficiais e atividades de dragagem no Complexo Estuarino da Baía de Paranaguá.</w:t>
      </w:r>
      <w:r>
        <w:rPr>
          <w:rFonts w:ascii="Times New Roman" w:hAnsi="Times New Roman" w:cs="Times New Roman" w:eastAsia="Times New Roman"/>
          <w:color w:val="auto"/>
          <w:spacing w:val="0"/>
          <w:position w:val="0"/>
          <w:sz w:val="22"/>
          <w:shd w:fill="auto" w:val="clear"/>
        </w:rPr>
        <w:t xml:space="preserve"> PR, 2003;</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SAKURAI, T.; KOJIMA, C.; OCHIAI, M.; OHTA, T.; FUJIWARA, K. Evaluation of in vivo acute immunotoxicity of a major organic arsenic compound arsenobetaine in seafood. </w:t>
      </w:r>
      <w:r>
        <w:rPr>
          <w:rFonts w:ascii="Times New Roman" w:hAnsi="Times New Roman" w:cs="Times New Roman" w:eastAsia="Times New Roman"/>
          <w:b/>
          <w:color w:val="auto"/>
          <w:spacing w:val="0"/>
          <w:position w:val="0"/>
          <w:sz w:val="22"/>
          <w:shd w:fill="auto" w:val="clear"/>
        </w:rPr>
        <w:t xml:space="preserve">International Immunopharmacology</w:t>
      </w:r>
      <w:r>
        <w:rPr>
          <w:rFonts w:ascii="Times New Roman" w:hAnsi="Times New Roman" w:cs="Times New Roman" w:eastAsia="Times New Roman"/>
          <w:color w:val="auto"/>
          <w:spacing w:val="0"/>
          <w:position w:val="0"/>
          <w:sz w:val="22"/>
          <w:shd w:fill="auto" w:val="clear"/>
        </w:rPr>
        <w:t xml:space="preserve">, v. 4, p. 179-184, 2004;</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SALOMONS, W.; FORSTNER, U. </w:t>
      </w:r>
      <w:r>
        <w:rPr>
          <w:rFonts w:ascii="Times New Roman" w:hAnsi="Times New Roman" w:cs="Times New Roman" w:eastAsia="Times New Roman"/>
          <w:b/>
          <w:color w:val="auto"/>
          <w:spacing w:val="0"/>
          <w:position w:val="0"/>
          <w:sz w:val="22"/>
          <w:shd w:fill="auto" w:val="clear"/>
        </w:rPr>
        <w:t xml:space="preserve">Metals in the hydrocycle</w:t>
      </w:r>
      <w:r>
        <w:rPr>
          <w:rFonts w:ascii="Times New Roman" w:hAnsi="Times New Roman" w:cs="Times New Roman" w:eastAsia="Times New Roman"/>
          <w:color w:val="auto"/>
          <w:spacing w:val="0"/>
          <w:position w:val="0"/>
          <w:sz w:val="22"/>
          <w:shd w:fill="auto" w:val="clear"/>
        </w:rPr>
        <w:t xml:space="preserve">. Springer-Verlag Berlin Heidelberg, 1984. </w:t>
      </w:r>
      <w:hyperlink xmlns:r="http://schemas.openxmlformats.org/officeDocument/2006/relationships" r:id="docRId29">
        <w:r>
          <w:rPr>
            <w:rFonts w:ascii="Times New Roman" w:hAnsi="Times New Roman" w:cs="Times New Roman" w:eastAsia="Times New Roman"/>
            <w:color w:val="0000FF"/>
            <w:spacing w:val="0"/>
            <w:position w:val="0"/>
            <w:sz w:val="22"/>
            <w:u w:val="single"/>
            <w:shd w:fill="auto" w:val="clear"/>
          </w:rPr>
          <w:t xml:space="preserve">https://doi.org/10.1007/978-3-642-69325-0</w:t>
        </w:r>
      </w:hyperlink>
      <w:r>
        <w:rPr>
          <w:rFonts w:ascii="Times New Roman" w:hAnsi="Times New Roman" w:cs="Times New Roman" w:eastAsia="Times New Roman"/>
          <w:color w:val="auto"/>
          <w:spacing w:val="0"/>
          <w:position w:val="0"/>
          <w:sz w:val="22"/>
          <w:shd w:fill="auto" w:val="clear"/>
        </w:rPr>
        <w:t xml:space="preserve">; </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SAWYER, C. N.; MCCARTY, P. L.; PARKIN, G. F. </w:t>
      </w:r>
      <w:r>
        <w:rPr>
          <w:rFonts w:ascii="Times New Roman" w:hAnsi="Times New Roman" w:cs="Times New Roman" w:eastAsia="Times New Roman"/>
          <w:b/>
          <w:color w:val="auto"/>
          <w:spacing w:val="0"/>
          <w:position w:val="0"/>
          <w:sz w:val="22"/>
          <w:shd w:fill="auto" w:val="clear"/>
        </w:rPr>
        <w:t xml:space="preserve">Chemistry for environmental and Engineering and Science. </w:t>
      </w:r>
      <w:r>
        <w:rPr>
          <w:rFonts w:ascii="Times New Roman" w:hAnsi="Times New Roman" w:cs="Times New Roman" w:eastAsia="Times New Roman"/>
          <w:color w:val="auto"/>
          <w:spacing w:val="0"/>
          <w:position w:val="0"/>
          <w:sz w:val="22"/>
          <w:shd w:fill="auto" w:val="clear"/>
        </w:rPr>
        <w:t xml:space="preserve">5ª ed., Mc Graw Hill, ISBN 0-07-248066-1, Nova York, 2003;</w:t>
      </w:r>
    </w:p>
    <w:p>
      <w:pPr>
        <w:spacing w:before="120" w:after="120" w:line="24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SEIXAS, T. G.; MOREIRA, I.; KEHRIG, H. A.; MALM, O. Distribuição de Selênio em organismos marinhos da Baía de Guanabara/ RJ. </w:t>
      </w:r>
      <w:r>
        <w:rPr>
          <w:rFonts w:ascii="Times New Roman" w:hAnsi="Times New Roman" w:cs="Times New Roman" w:eastAsia="Times New Roman"/>
          <w:b/>
          <w:color w:val="auto"/>
          <w:spacing w:val="0"/>
          <w:position w:val="0"/>
          <w:sz w:val="22"/>
          <w:shd w:fill="auto" w:val="clear"/>
        </w:rPr>
        <w:t xml:space="preserve">Química Nova</w:t>
      </w:r>
      <w:r>
        <w:rPr>
          <w:rFonts w:ascii="Times New Roman" w:hAnsi="Times New Roman" w:cs="Times New Roman" w:eastAsia="Times New Roman"/>
          <w:color w:val="auto"/>
          <w:spacing w:val="0"/>
          <w:position w:val="0"/>
          <w:sz w:val="22"/>
          <w:shd w:fill="auto" w:val="clear"/>
        </w:rPr>
        <w:t xml:space="preserve">. v. 30, n. 3, p. 554-559, 2007;</w:t>
      </w:r>
      <w:r>
        <w:rPr>
          <w:rFonts w:ascii="Times New Roman" w:hAnsi="Times New Roman" w:cs="Times New Roman" w:eastAsia="Times New Roman"/>
          <w:color w:val="auto"/>
          <w:spacing w:val="0"/>
          <w:position w:val="0"/>
          <w:sz w:val="24"/>
          <w:shd w:fill="auto" w:val="clear"/>
        </w:rPr>
        <w:t xml:space="preserve"> </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SENA, K. C. M.; PEDROSA, L. F. C. Efeitos da suplementação com zinco sobre o crescimento, sistema imunológico e diabetes. </w:t>
      </w:r>
      <w:r>
        <w:rPr>
          <w:rFonts w:ascii="Times New Roman" w:hAnsi="Times New Roman" w:cs="Times New Roman" w:eastAsia="Times New Roman"/>
          <w:b/>
          <w:color w:val="auto"/>
          <w:spacing w:val="0"/>
          <w:position w:val="0"/>
          <w:sz w:val="22"/>
          <w:shd w:fill="auto" w:val="clear"/>
        </w:rPr>
        <w:t xml:space="preserve">Revista de Nutrição</w:t>
      </w:r>
      <w:r>
        <w:rPr>
          <w:rFonts w:ascii="Times New Roman" w:hAnsi="Times New Roman" w:cs="Times New Roman" w:eastAsia="Times New Roman"/>
          <w:color w:val="auto"/>
          <w:spacing w:val="0"/>
          <w:position w:val="0"/>
          <w:sz w:val="22"/>
          <w:shd w:fill="auto" w:val="clear"/>
        </w:rPr>
        <w:t xml:space="preserve">. v. 18, n. 2, p. 251-259, 2005;</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SHALLARI, S.; SCHWARTZ, C.; HASKO, A.; MOREL, J. L. Heavy metals in soils and plants of serpentine and industrial sites of Albania. </w:t>
      </w:r>
      <w:r>
        <w:rPr>
          <w:rFonts w:ascii="Times New Roman" w:hAnsi="Times New Roman" w:cs="Times New Roman" w:eastAsia="Times New Roman"/>
          <w:b/>
          <w:color w:val="auto"/>
          <w:spacing w:val="0"/>
          <w:position w:val="0"/>
          <w:sz w:val="22"/>
          <w:shd w:fill="auto" w:val="clear"/>
        </w:rPr>
        <w:t xml:space="preserve">Science of the Total Environment</w:t>
      </w:r>
      <w:r>
        <w:rPr>
          <w:rFonts w:ascii="Times New Roman" w:hAnsi="Times New Roman" w:cs="Times New Roman" w:eastAsia="Times New Roman"/>
          <w:color w:val="auto"/>
          <w:spacing w:val="0"/>
          <w:position w:val="0"/>
          <w:sz w:val="22"/>
          <w:shd w:fill="auto" w:val="clear"/>
        </w:rPr>
        <w:t xml:space="preserve">. v. 19209, p.133-142, 1998; </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SILVANO, J. </w:t>
      </w:r>
      <w:r>
        <w:rPr>
          <w:rFonts w:ascii="Times New Roman" w:hAnsi="Times New Roman" w:cs="Times New Roman" w:eastAsia="Times New Roman"/>
          <w:b/>
          <w:color w:val="auto"/>
          <w:spacing w:val="0"/>
          <w:position w:val="0"/>
          <w:sz w:val="22"/>
          <w:shd w:fill="auto" w:val="clear"/>
        </w:rPr>
        <w:t xml:space="preserve">Avaliação de metais na água, no sedimento e nos peixes da lagoa Azul, formada por lavra de mineração de carvão a céu aberto, Siderópolis-SC</w:t>
      </w:r>
      <w:r>
        <w:rPr>
          <w:rFonts w:ascii="Times New Roman" w:hAnsi="Times New Roman" w:cs="Times New Roman" w:eastAsia="Times New Roman"/>
          <w:color w:val="auto"/>
          <w:spacing w:val="0"/>
          <w:position w:val="0"/>
          <w:sz w:val="22"/>
          <w:shd w:fill="auto" w:val="clear"/>
        </w:rPr>
        <w:t xml:space="preserve">. Porto Alegre, 2003;</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SINGH, H. P.; BATISH, D. R.; KOHLI, R. K.; ARORA, K. Arsenic-induced root growth inhibition in mung bean (Phaseolus aureus Roxb.) is due to oxidative stress resulting from enhanced lipid peroxidation. </w:t>
      </w:r>
      <w:r>
        <w:rPr>
          <w:rFonts w:ascii="Times New Roman" w:hAnsi="Times New Roman" w:cs="Times New Roman" w:eastAsia="Times New Roman"/>
          <w:b/>
          <w:color w:val="auto"/>
          <w:spacing w:val="0"/>
          <w:position w:val="0"/>
          <w:sz w:val="22"/>
          <w:shd w:fill="auto" w:val="clear"/>
        </w:rPr>
        <w:t xml:space="preserve">Plant Growth Regulation.</w:t>
      </w:r>
      <w:r>
        <w:rPr>
          <w:rFonts w:ascii="Times New Roman" w:hAnsi="Times New Roman" w:cs="Times New Roman" w:eastAsia="Times New Roman"/>
          <w:color w:val="auto"/>
          <w:spacing w:val="0"/>
          <w:position w:val="0"/>
          <w:sz w:val="22"/>
          <w:shd w:fill="auto" w:val="clear"/>
        </w:rPr>
        <w:t xml:space="preserve"> v. 53, n. 1, p. 65-73, 2007;</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SKOOG, D. A.; HOLLER, F. J.; NIEMAN, T. A. </w:t>
      </w:r>
      <w:r>
        <w:rPr>
          <w:rFonts w:ascii="Times New Roman" w:hAnsi="Times New Roman" w:cs="Times New Roman" w:eastAsia="Times New Roman"/>
          <w:b/>
          <w:color w:val="auto"/>
          <w:spacing w:val="0"/>
          <w:position w:val="0"/>
          <w:sz w:val="22"/>
          <w:shd w:fill="auto" w:val="clear"/>
        </w:rPr>
        <w:t xml:space="preserve">Princípios de Analise Instrumental</w:t>
      </w:r>
      <w:r>
        <w:rPr>
          <w:rFonts w:ascii="Times New Roman" w:hAnsi="Times New Roman" w:cs="Times New Roman" w:eastAsia="Times New Roman"/>
          <w:color w:val="auto"/>
          <w:spacing w:val="0"/>
          <w:position w:val="0"/>
          <w:sz w:val="22"/>
          <w:shd w:fill="auto" w:val="clear"/>
        </w:rPr>
        <w:t xml:space="preserve">, 5ª Ed Bookman, 2002;</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SKOOG, D. A.; WEST, D. M.; HOLLER, F. J.; CROUCH, S. R. Espectroscopia Atômica. </w:t>
      </w:r>
      <w:r>
        <w:rPr>
          <w:rFonts w:ascii="Times New Roman" w:hAnsi="Times New Roman" w:cs="Times New Roman" w:eastAsia="Times New Roman"/>
          <w:i/>
          <w:color w:val="auto"/>
          <w:spacing w:val="0"/>
          <w:position w:val="0"/>
          <w:sz w:val="22"/>
          <w:shd w:fill="auto" w:val="clear"/>
        </w:rPr>
        <w:t xml:space="preserve">In: </w:t>
      </w:r>
      <w:r>
        <w:rPr>
          <w:rFonts w:ascii="Times New Roman" w:hAnsi="Times New Roman" w:cs="Times New Roman" w:eastAsia="Times New Roman"/>
          <w:color w:val="auto"/>
          <w:spacing w:val="0"/>
          <w:position w:val="0"/>
          <w:sz w:val="22"/>
          <w:shd w:fill="auto" w:val="clear"/>
        </w:rPr>
        <w:t xml:space="preserve">SKOOG, D. A.; WEST, D. M.; HOLLER, F. J.; CROUCH, S. R. Fundamentos de química analítica, Ed. Cengage, São Paulo SP, cap. 28, p. 766-796, 2015;</w:t>
      </w:r>
    </w:p>
    <w:p>
      <w:pPr>
        <w:spacing w:before="120" w:after="120" w:line="240"/>
        <w:ind w:right="0" w:left="709" w:hanging="709"/>
        <w:jc w:val="both"/>
        <w:rPr>
          <w:rFonts w:ascii="Times New Roman" w:hAnsi="Times New Roman" w:cs="Times New Roman" w:eastAsia="Times New Roman"/>
          <w:color w:val="0000FF"/>
          <w:spacing w:val="0"/>
          <w:position w:val="0"/>
          <w:sz w:val="22"/>
          <w:u w:val="single"/>
          <w:shd w:fill="auto" w:val="clear"/>
        </w:rPr>
      </w:pPr>
      <w:r>
        <w:rPr>
          <w:rFonts w:ascii="Times New Roman" w:hAnsi="Times New Roman" w:cs="Times New Roman" w:eastAsia="Times New Roman"/>
          <w:color w:val="auto"/>
          <w:spacing w:val="0"/>
          <w:position w:val="0"/>
          <w:sz w:val="22"/>
          <w:shd w:fill="auto" w:val="clear"/>
        </w:rPr>
        <w:t xml:space="preserve">SMITH, S. L.; MACDONALD, D. D.; KEENLEYSIDE, K. A.; INGERSOLL, C. G.; FIELD, L. J. A Preliminary Evaluation of Sediment Quality Assessment Values for Freshwater Ecosystems. </w:t>
      </w:r>
      <w:r>
        <w:rPr>
          <w:rFonts w:ascii="Times New Roman" w:hAnsi="Times New Roman" w:cs="Times New Roman" w:eastAsia="Times New Roman"/>
          <w:b/>
          <w:color w:val="auto"/>
          <w:spacing w:val="0"/>
          <w:position w:val="0"/>
          <w:sz w:val="22"/>
          <w:shd w:fill="auto" w:val="clear"/>
        </w:rPr>
        <w:t xml:space="preserve">Journal of Great Lakes Research. </w:t>
      </w:r>
      <w:r>
        <w:rPr>
          <w:rFonts w:ascii="Times New Roman" w:hAnsi="Times New Roman" w:cs="Times New Roman" w:eastAsia="Times New Roman"/>
          <w:color w:val="auto"/>
          <w:spacing w:val="0"/>
          <w:position w:val="0"/>
          <w:sz w:val="22"/>
          <w:shd w:fill="auto" w:val="clear"/>
        </w:rPr>
        <w:t xml:space="preserve">v. 22, n. 3, p. 624-638, 1996. </w:t>
      </w:r>
      <w:hyperlink xmlns:r="http://schemas.openxmlformats.org/officeDocument/2006/relationships" r:id="docRId30">
        <w:r>
          <w:rPr>
            <w:rFonts w:ascii="Times New Roman" w:hAnsi="Times New Roman" w:cs="Times New Roman" w:eastAsia="Times New Roman"/>
            <w:color w:val="0000FF"/>
            <w:spacing w:val="0"/>
            <w:position w:val="0"/>
            <w:sz w:val="22"/>
            <w:u w:val="single"/>
            <w:shd w:fill="auto" w:val="clear"/>
          </w:rPr>
          <w:t xml:space="preserve">https://doi.org/10.1016/S0380-1330(96)70985-1</w:t>
        </w:r>
      </w:hyperlink>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SOUZA, V. L. B.; LIMA, V.; HAZIN, C. A.; FONSECA, C. K. L.; SANTOS, S. O. Biodisponibilidade de metais-traço em sedimentos: uma revisão. </w:t>
      </w:r>
      <w:r>
        <w:rPr>
          <w:rFonts w:ascii="Times New Roman" w:hAnsi="Times New Roman" w:cs="Times New Roman" w:eastAsia="Times New Roman"/>
          <w:b/>
          <w:color w:val="auto"/>
          <w:spacing w:val="0"/>
          <w:position w:val="0"/>
          <w:sz w:val="22"/>
          <w:shd w:fill="auto" w:val="clear"/>
        </w:rPr>
        <w:t xml:space="preserve">Brazilian Journal of Radiation Sciences</w:t>
      </w:r>
      <w:r>
        <w:rPr>
          <w:rFonts w:ascii="Times New Roman" w:hAnsi="Times New Roman" w:cs="Times New Roman" w:eastAsia="Times New Roman"/>
          <w:color w:val="auto"/>
          <w:spacing w:val="0"/>
          <w:position w:val="0"/>
          <w:sz w:val="22"/>
          <w:shd w:fill="auto" w:val="clear"/>
        </w:rPr>
        <w:t xml:space="preserve">. v. 03-1A, p. 1-13, 2015;</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SUTTON, D.; TCHOUNWOU, P. Mercury induces the externalization of phosphatidyl-serine in human renal proximal tubule (HK-2) cells. </w:t>
      </w:r>
      <w:r>
        <w:rPr>
          <w:rFonts w:ascii="Times New Roman" w:hAnsi="Times New Roman" w:cs="Times New Roman" w:eastAsia="Times New Roman"/>
          <w:b/>
          <w:color w:val="auto"/>
          <w:spacing w:val="0"/>
          <w:position w:val="0"/>
          <w:sz w:val="22"/>
          <w:shd w:fill="auto" w:val="clear"/>
        </w:rPr>
        <w:t xml:space="preserve">International journal of environmental research and public health</w:t>
      </w:r>
      <w:r>
        <w:rPr>
          <w:rFonts w:ascii="Times New Roman" w:hAnsi="Times New Roman" w:cs="Times New Roman" w:eastAsia="Times New Roman"/>
          <w:color w:val="auto"/>
          <w:spacing w:val="0"/>
          <w:position w:val="0"/>
          <w:sz w:val="22"/>
          <w:shd w:fill="auto" w:val="clear"/>
        </w:rPr>
        <w:t xml:space="preserve">, v. 4, n. 2, p. 138-144, 2007; </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TCHOUNWOU, P. B.; YEDJOU, C. G.; FOXX, D.; ISHAQUE, A.; SHEN, E. Lead-induced cytotoxicity and transcriptional activation of stress genes in human liver carcinoma cells (HepG2). </w:t>
      </w:r>
      <w:r>
        <w:rPr>
          <w:rFonts w:ascii="Times New Roman" w:hAnsi="Times New Roman" w:cs="Times New Roman" w:eastAsia="Times New Roman"/>
          <w:b/>
          <w:color w:val="auto"/>
          <w:spacing w:val="0"/>
          <w:position w:val="0"/>
          <w:sz w:val="22"/>
          <w:shd w:fill="auto" w:val="clear"/>
        </w:rPr>
        <w:t xml:space="preserve">Molecular and Cellular Biochemistry</w:t>
      </w:r>
      <w:r>
        <w:rPr>
          <w:rFonts w:ascii="Times New Roman" w:hAnsi="Times New Roman" w:cs="Times New Roman" w:eastAsia="Times New Roman"/>
          <w:color w:val="auto"/>
          <w:spacing w:val="0"/>
          <w:position w:val="0"/>
          <w:sz w:val="22"/>
          <w:shd w:fill="auto" w:val="clear"/>
        </w:rPr>
        <w:t xml:space="preserve">. v. 255, p. 161-170, 2004;</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TCHOUNWOU P. B.; YEDJOU, C. G.; PATLOLLA, A. K.; SUTTON, D. J. Heavy Metal Toxicity and the Environment. </w:t>
      </w:r>
      <w:r>
        <w:rPr>
          <w:rFonts w:ascii="Times New Roman" w:hAnsi="Times New Roman" w:cs="Times New Roman" w:eastAsia="Times New Roman"/>
          <w:i/>
          <w:color w:val="auto"/>
          <w:spacing w:val="0"/>
          <w:position w:val="0"/>
          <w:sz w:val="22"/>
          <w:shd w:fill="auto" w:val="clear"/>
        </w:rPr>
        <w:t xml:space="preserve">In:</w:t>
      </w:r>
      <w:r>
        <w:rPr>
          <w:rFonts w:ascii="Times New Roman" w:hAnsi="Times New Roman" w:cs="Times New Roman" w:eastAsia="Times New Roman"/>
          <w:color w:val="auto"/>
          <w:spacing w:val="0"/>
          <w:position w:val="0"/>
          <w:sz w:val="22"/>
          <w:shd w:fill="auto" w:val="clear"/>
        </w:rPr>
        <w:t xml:space="preserve"> Luch A. (eds) </w:t>
      </w:r>
      <w:r>
        <w:rPr>
          <w:rFonts w:ascii="Times New Roman" w:hAnsi="Times New Roman" w:cs="Times New Roman" w:eastAsia="Times New Roman"/>
          <w:b/>
          <w:color w:val="auto"/>
          <w:spacing w:val="0"/>
          <w:position w:val="0"/>
          <w:sz w:val="22"/>
          <w:shd w:fill="auto" w:val="clear"/>
        </w:rPr>
        <w:t xml:space="preserve">Molecular, Clinical and Environmental Toxicology</w:t>
      </w:r>
      <w:r>
        <w:rPr>
          <w:rFonts w:ascii="Times New Roman" w:hAnsi="Times New Roman" w:cs="Times New Roman" w:eastAsia="Times New Roman"/>
          <w:color w:val="auto"/>
          <w:spacing w:val="0"/>
          <w:position w:val="0"/>
          <w:sz w:val="22"/>
          <w:shd w:fill="auto" w:val="clear"/>
        </w:rPr>
        <w:t xml:space="preserve">. Experientia Supplementum, vol 101. Springer, Basel, 2012; </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TEIXEIRA, L. F. L.; MAZZILLI, B. P. Determination of uranium and thorium in sediments from Cananéia-Iguape system, Brazil. </w:t>
      </w:r>
      <w:r>
        <w:rPr>
          <w:rFonts w:ascii="Times New Roman" w:hAnsi="Times New Roman" w:cs="Times New Roman" w:eastAsia="Times New Roman"/>
          <w:b/>
          <w:color w:val="auto"/>
          <w:spacing w:val="0"/>
          <w:position w:val="0"/>
          <w:sz w:val="22"/>
          <w:shd w:fill="auto" w:val="clear"/>
        </w:rPr>
        <w:t xml:space="preserve">Journal of Radioanalytical and Nuclear Chemistry</w:t>
      </w:r>
      <w:r>
        <w:rPr>
          <w:rFonts w:ascii="Times New Roman" w:hAnsi="Times New Roman" w:cs="Times New Roman" w:eastAsia="Times New Roman"/>
          <w:color w:val="auto"/>
          <w:spacing w:val="0"/>
          <w:position w:val="0"/>
          <w:sz w:val="22"/>
          <w:shd w:fill="auto" w:val="clear"/>
        </w:rPr>
        <w:t xml:space="preserve">, v. 320, n. 3, p. 551-560, 2019;</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TREVIZANI, T. H.; FIGUEIRA, R. C. L.; RIBEIRO, A. P.; THEOPHILO, C. Y. S.; MAJER, A. P.; PETTI, M. A. V.; CORBISIER, T. N.; MONTONEA, R. C. Bioaccumulation of heavy metals in marine organisms and sediments from Admiralty Bay, King George Island, Antarctica. </w:t>
      </w:r>
      <w:r>
        <w:rPr>
          <w:rFonts w:ascii="Times New Roman" w:hAnsi="Times New Roman" w:cs="Times New Roman" w:eastAsia="Times New Roman"/>
          <w:b/>
          <w:color w:val="auto"/>
          <w:spacing w:val="0"/>
          <w:position w:val="0"/>
          <w:sz w:val="22"/>
          <w:shd w:fill="auto" w:val="clear"/>
        </w:rPr>
        <w:t xml:space="preserve">Marine Pollution Bulletin.</w:t>
      </w:r>
      <w:r>
        <w:rPr>
          <w:rFonts w:ascii="Times New Roman" w:hAnsi="Times New Roman" w:cs="Times New Roman" w:eastAsia="Times New Roman"/>
          <w:color w:val="auto"/>
          <w:spacing w:val="0"/>
          <w:position w:val="0"/>
          <w:sz w:val="22"/>
          <w:shd w:fill="auto" w:val="clear"/>
        </w:rPr>
        <w:t xml:space="preserve"> v. 106, n. 1-2, p. 366-371, 2016</w:t>
      </w:r>
      <w:r>
        <w:rPr>
          <w:rFonts w:ascii="Times New Roman" w:hAnsi="Times New Roman" w:cs="Times New Roman" w:eastAsia="Times New Roman"/>
          <w:color w:val="auto"/>
          <w:spacing w:val="0"/>
          <w:position w:val="0"/>
          <w:sz w:val="22"/>
          <w:shd w:fill="FFFF00" w:val="clear"/>
        </w:rPr>
        <w:t xml:space="preserve">;</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UFELLE, A. C.; BARCHOWSKY, A. Toxic Effects of Metals. </w:t>
      </w:r>
      <w:r>
        <w:rPr>
          <w:rFonts w:ascii="Times New Roman" w:hAnsi="Times New Roman" w:cs="Times New Roman" w:eastAsia="Times New Roman"/>
          <w:i/>
          <w:color w:val="auto"/>
          <w:spacing w:val="0"/>
          <w:position w:val="0"/>
          <w:sz w:val="22"/>
          <w:shd w:fill="auto" w:val="clear"/>
        </w:rPr>
        <w:t xml:space="preserve">In:</w:t>
      </w:r>
      <w:r>
        <w:rPr>
          <w:rFonts w:ascii="Times New Roman" w:hAnsi="Times New Roman" w:cs="Times New Roman" w:eastAsia="Times New Roman"/>
          <w:color w:val="auto"/>
          <w:spacing w:val="0"/>
          <w:position w:val="0"/>
          <w:sz w:val="22"/>
          <w:shd w:fill="auto" w:val="clear"/>
        </w:rPr>
        <w:t xml:space="preserve"> CASARETT AND DOULL’S. </w:t>
      </w:r>
      <w:r>
        <w:rPr>
          <w:rFonts w:ascii="Times New Roman" w:hAnsi="Times New Roman" w:cs="Times New Roman" w:eastAsia="Times New Roman"/>
          <w:b/>
          <w:color w:val="auto"/>
          <w:spacing w:val="0"/>
          <w:position w:val="0"/>
          <w:sz w:val="22"/>
          <w:shd w:fill="auto" w:val="clear"/>
        </w:rPr>
        <w:t xml:space="preserve">Toxicology: The Basic Science of Poisons</w:t>
      </w:r>
      <w:r>
        <w:rPr>
          <w:rFonts w:ascii="Times New Roman" w:hAnsi="Times New Roman" w:cs="Times New Roman" w:eastAsia="Times New Roman"/>
          <w:color w:val="auto"/>
          <w:spacing w:val="0"/>
          <w:position w:val="0"/>
          <w:sz w:val="22"/>
          <w:shd w:fill="auto" w:val="clear"/>
        </w:rPr>
        <w:t xml:space="preserve">. Cap. 23, p. 1107-1162, 2019;</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U.S. EPA. </w:t>
      </w:r>
      <w:r>
        <w:rPr>
          <w:rFonts w:ascii="Times New Roman" w:hAnsi="Times New Roman" w:cs="Times New Roman" w:eastAsia="Times New Roman"/>
          <w:b/>
          <w:color w:val="auto"/>
          <w:spacing w:val="0"/>
          <w:position w:val="0"/>
          <w:sz w:val="22"/>
          <w:shd w:fill="auto" w:val="clear"/>
        </w:rPr>
        <w:t xml:space="preserve">Standard Methods for the Examination of Water and Wastewater</w:t>
      </w:r>
      <w:r>
        <w:rPr>
          <w:rFonts w:ascii="Times New Roman" w:hAnsi="Times New Roman" w:cs="Times New Roman" w:eastAsia="Times New Roman"/>
          <w:color w:val="auto"/>
          <w:spacing w:val="0"/>
          <w:position w:val="0"/>
          <w:sz w:val="22"/>
          <w:shd w:fill="auto" w:val="clear"/>
        </w:rPr>
        <w:t xml:space="preserve">. American Public Health Assoc. US. 1993; </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VALKO M. M. H. C. M.; MORRIS, H.; CRONIN, M. T. D. Metals, toxicity and oxidative stress. </w:t>
      </w:r>
      <w:r>
        <w:rPr>
          <w:rFonts w:ascii="Times New Roman" w:hAnsi="Times New Roman" w:cs="Times New Roman" w:eastAsia="Times New Roman"/>
          <w:b/>
          <w:color w:val="auto"/>
          <w:spacing w:val="0"/>
          <w:position w:val="0"/>
          <w:sz w:val="22"/>
          <w:shd w:fill="auto" w:val="clear"/>
        </w:rPr>
        <w:t xml:space="preserve">Current Medicinal Chemistry</w:t>
      </w:r>
      <w:r>
        <w:rPr>
          <w:rFonts w:ascii="Times New Roman" w:hAnsi="Times New Roman" w:cs="Times New Roman" w:eastAsia="Times New Roman"/>
          <w:color w:val="auto"/>
          <w:spacing w:val="0"/>
          <w:position w:val="0"/>
          <w:sz w:val="22"/>
          <w:shd w:fill="auto" w:val="clear"/>
        </w:rPr>
        <w:t xml:space="preserve">. v.12, n. 10, p. 1161-1208, 2005;</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VUORI K-M. Direct and Indirect effects of iron on river eco systems. </w:t>
      </w:r>
      <w:r>
        <w:rPr>
          <w:rFonts w:ascii="Times New Roman" w:hAnsi="Times New Roman" w:cs="Times New Roman" w:eastAsia="Times New Roman"/>
          <w:b/>
          <w:color w:val="auto"/>
          <w:spacing w:val="0"/>
          <w:position w:val="0"/>
          <w:sz w:val="22"/>
          <w:shd w:fill="auto" w:val="clear"/>
        </w:rPr>
        <w:t xml:space="preserve">Annales Zoologici Fennici</w:t>
      </w:r>
      <w:r>
        <w:rPr>
          <w:rFonts w:ascii="Times New Roman" w:hAnsi="Times New Roman" w:cs="Times New Roman" w:eastAsia="Times New Roman"/>
          <w:color w:val="auto"/>
          <w:spacing w:val="0"/>
          <w:position w:val="0"/>
          <w:sz w:val="22"/>
          <w:shd w:fill="auto" w:val="clear"/>
        </w:rPr>
        <w:t xml:space="preserve">. v. 32, p. 317-329, 1995; </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WANG, S.; SHI, X. Molecular mechanisms of metal toxicity and carcinogenesis. </w:t>
      </w:r>
      <w:r>
        <w:rPr>
          <w:rFonts w:ascii="Times New Roman" w:hAnsi="Times New Roman" w:cs="Times New Roman" w:eastAsia="Times New Roman"/>
          <w:b/>
          <w:color w:val="auto"/>
          <w:spacing w:val="0"/>
          <w:position w:val="0"/>
          <w:sz w:val="22"/>
          <w:shd w:fill="auto" w:val="clear"/>
        </w:rPr>
        <w:t xml:space="preserve">Molecular and Cellular Biochemistry</w:t>
      </w:r>
      <w:r>
        <w:rPr>
          <w:rFonts w:ascii="Times New Roman" w:hAnsi="Times New Roman" w:cs="Times New Roman" w:eastAsia="Times New Roman"/>
          <w:color w:val="auto"/>
          <w:spacing w:val="0"/>
          <w:position w:val="0"/>
          <w:sz w:val="22"/>
          <w:shd w:fill="auto" w:val="clear"/>
        </w:rPr>
        <w:t xml:space="preserve">, v. 222, n. 1-2, p. 3-9, 2001;</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WANG, X. C.; FENG, H.; MA, H. Q. Assessment of Metal Contamination in Surface Sediments of Jiaozhou Bay, Qingdao, China. </w:t>
      </w:r>
      <w:r>
        <w:rPr>
          <w:rFonts w:ascii="Times New Roman" w:hAnsi="Times New Roman" w:cs="Times New Roman" w:eastAsia="Times New Roman"/>
          <w:b/>
          <w:color w:val="auto"/>
          <w:spacing w:val="0"/>
          <w:position w:val="0"/>
          <w:sz w:val="22"/>
          <w:shd w:fill="auto" w:val="clear"/>
        </w:rPr>
        <w:t xml:space="preserve">Clean</w:t>
      </w:r>
      <w:r>
        <w:rPr>
          <w:rFonts w:ascii="Times New Roman" w:hAnsi="Times New Roman" w:cs="Times New Roman" w:eastAsia="Times New Roman"/>
          <w:color w:val="auto"/>
          <w:spacing w:val="0"/>
          <w:position w:val="0"/>
          <w:sz w:val="22"/>
          <w:shd w:fill="auto" w:val="clear"/>
        </w:rPr>
        <w:t xml:space="preserve">. v. 35, n 1, p. 62-70, 2007;</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WOOD, J. M.; WANG, H-K. Microbial resistance to heavy metals. </w:t>
      </w:r>
      <w:r>
        <w:rPr>
          <w:rFonts w:ascii="Times New Roman" w:hAnsi="Times New Roman" w:cs="Times New Roman" w:eastAsia="Times New Roman"/>
          <w:b/>
          <w:color w:val="auto"/>
          <w:spacing w:val="0"/>
          <w:position w:val="0"/>
          <w:sz w:val="22"/>
          <w:shd w:fill="auto" w:val="clear"/>
        </w:rPr>
        <w:t xml:space="preserve">Environmental Science &amp; Technology</w:t>
      </w:r>
      <w:r>
        <w:rPr>
          <w:rFonts w:ascii="Times New Roman" w:hAnsi="Times New Roman" w:cs="Times New Roman" w:eastAsia="Times New Roman"/>
          <w:color w:val="auto"/>
          <w:spacing w:val="0"/>
          <w:position w:val="0"/>
          <w:sz w:val="22"/>
          <w:shd w:fill="auto" w:val="clear"/>
        </w:rPr>
        <w:t xml:space="preserve">, v. 17, n. 12, p. 582A-590A, 1983; </w:t>
        <w:tab/>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WORLD HEALTH ORGANIZATION. </w:t>
      </w:r>
      <w:r>
        <w:rPr>
          <w:rFonts w:ascii="Times New Roman" w:hAnsi="Times New Roman" w:cs="Times New Roman" w:eastAsia="Times New Roman"/>
          <w:b/>
          <w:color w:val="auto"/>
          <w:spacing w:val="0"/>
          <w:position w:val="0"/>
          <w:sz w:val="22"/>
          <w:shd w:fill="auto" w:val="clear"/>
        </w:rPr>
        <w:t xml:space="preserve">Trace elements in human nutrition and health</w:t>
      </w:r>
      <w:r>
        <w:rPr>
          <w:rFonts w:ascii="Times New Roman" w:hAnsi="Times New Roman" w:cs="Times New Roman" w:eastAsia="Times New Roman"/>
          <w:color w:val="auto"/>
          <w:spacing w:val="0"/>
          <w:position w:val="0"/>
          <w:sz w:val="22"/>
          <w:shd w:fill="auto" w:val="clear"/>
        </w:rPr>
        <w:t xml:space="preserve">. Genova, 1996; </w:t>
      </w:r>
    </w:p>
    <w:p>
      <w:pPr>
        <w:spacing w:before="120" w:after="120" w:line="240"/>
        <w:ind w:right="0" w:left="709" w:hanging="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WROBEL, J. K.; POWER, R.; TOBOREK, M. Biological activity of selenium: revisited. IUBMB Life. v. 68, p. 97-105, 2016;</w:t>
      </w:r>
    </w:p>
    <w:p>
      <w:pPr>
        <w:spacing w:before="120" w:after="120" w:line="24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YU, M-H. TSUNODA, H. Environmental Toxicology: biological and health effects of pollutants. Second Edition CRC PRESS, 368 p., 2004.</w:t>
      </w:r>
    </w:p>
    <w:p>
      <w:pPr>
        <w:spacing w:before="0" w:after="0" w:line="259"/>
        <w:ind w:right="0" w:left="0" w:firstLine="709"/>
        <w:jc w:val="left"/>
        <w:rPr>
          <w:rFonts w:ascii="Times New Roman" w:hAnsi="Times New Roman" w:cs="Times New Roman" w:eastAsia="Times New Roman"/>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num w:numId="54">
    <w:abstractNumId w:val="102"/>
  </w:num>
  <w:num w:numId="57">
    <w:abstractNumId w:val="96"/>
  </w:num>
  <w:num w:numId="59">
    <w:abstractNumId w:val="90"/>
  </w:num>
  <w:num w:numId="106">
    <w:abstractNumId w:val="84"/>
  </w:num>
  <w:num w:numId="108">
    <w:abstractNumId w:val="78"/>
  </w:num>
  <w:num w:numId="112">
    <w:abstractNumId w:val="72"/>
  </w:num>
  <w:num w:numId="114">
    <w:abstractNumId w:val="66"/>
  </w:num>
  <w:num w:numId="121">
    <w:abstractNumId w:val="60"/>
  </w:num>
  <w:num w:numId="146">
    <w:abstractNumId w:val="54"/>
  </w:num>
  <w:num w:numId="148">
    <w:abstractNumId w:val="48"/>
  </w:num>
  <w:num w:numId="150">
    <w:abstractNumId w:val="42"/>
  </w:num>
  <w:num w:numId="152">
    <w:abstractNumId w:val="36"/>
  </w:num>
  <w:num w:numId="158">
    <w:abstractNumId w:val="30"/>
  </w:num>
  <w:num w:numId="189">
    <w:abstractNumId w:val="24"/>
  </w:num>
  <w:num w:numId="191">
    <w:abstractNumId w:val="18"/>
  </w:num>
  <w:num w:numId="216">
    <w:abstractNumId w:val="12"/>
  </w:num>
  <w:num w:numId="310">
    <w:abstractNumId w:val="6"/>
  </w:num>
  <w:num w:numId="312">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3.bin" Id="docRId7" Type="http://schemas.openxmlformats.org/officeDocument/2006/relationships/oleObject" /><Relationship Target="media/image6.wmf" Id="docRId14" Type="http://schemas.openxmlformats.org/officeDocument/2006/relationships/image" /><Relationship TargetMode="External" Target="http://dx.doi.org/10.5935/0100-4042.20140207" Id="docRId23" Type="http://schemas.openxmlformats.org/officeDocument/2006/relationships/hyperlink" /><Relationship Target="media/image2.wmf" Id="docRId6" Type="http://schemas.openxmlformats.org/officeDocument/2006/relationships/image" /><Relationship Target="embeddings/oleObject0.bin" Id="docRId1" Type="http://schemas.openxmlformats.org/officeDocument/2006/relationships/oleObject" /><Relationship TargetMode="External" Target="https://www.atsdr.cdc.gov/ToxProfiles/tp.asp?id=153&amp;tid=28" Id="docRId15" Type="http://schemas.openxmlformats.org/officeDocument/2006/relationships/hyperlink" /><Relationship TargetMode="External" Target="http://www.trabalhoseguro.com/Groups/HTML/Manganes/manganes2.html" Id="docRId22" Type="http://schemas.openxmlformats.org/officeDocument/2006/relationships/hyperlink" /><Relationship Target="embeddings/oleObject4.bin" Id="docRId9" Type="http://schemas.openxmlformats.org/officeDocument/2006/relationships/oleObject" /><Relationship TargetMode="External" Target="https://www.pensador.com/autor/henry_ford/" Id="docRId0" Type="http://schemas.openxmlformats.org/officeDocument/2006/relationships/hyperlink" /><Relationship Target="media/image5.wmf" Id="docRId12" Type="http://schemas.openxmlformats.org/officeDocument/2006/relationships/image" /><Relationship TargetMode="External" Target="https://doi.org/10.1007/s42452-019-1276-8" Id="docRId21" Type="http://schemas.openxmlformats.org/officeDocument/2006/relationships/hyperlink" /><Relationship TargetMode="External" Target="https://doi.org/10.1007/978-3-642-69325-0" Id="docRId29" Type="http://schemas.openxmlformats.org/officeDocument/2006/relationships/hyperlink" /><Relationship Target="media/image3.wmf" Id="docRId8" Type="http://schemas.openxmlformats.org/officeDocument/2006/relationships/image" /><Relationship Target="embeddings/oleObject6.bin" Id="docRId13" Type="http://schemas.openxmlformats.org/officeDocument/2006/relationships/oleObject" /><Relationship TargetMode="External" Target="https://www.atsdr.cdc.gov/toxprofiles/TP.asp?id=440&amp;tid=77" Id="docRId20" Type="http://schemas.openxmlformats.org/officeDocument/2006/relationships/hyperlink" /><Relationship TargetMode="External" Target="https://doi.org/10.1590/S1516" Id="docRId28" Type="http://schemas.openxmlformats.org/officeDocument/2006/relationships/hyperlink" /><Relationship Target="embeddings/oleObject1.bin" Id="docRId3" Type="http://schemas.openxmlformats.org/officeDocument/2006/relationships/oleObject" /><Relationship Target="media/image4.wmf" Id="docRId10" Type="http://schemas.openxmlformats.org/officeDocument/2006/relationships/image" /><Relationship TargetMode="External" Target="http://www.atsdr.cdc.gov/mrls/index.html" Id="docRId18" Type="http://schemas.openxmlformats.org/officeDocument/2006/relationships/hyperlink" /><Relationship Target="media/image0.wmf" Id="docRId2" Type="http://schemas.openxmlformats.org/officeDocument/2006/relationships/image" /><Relationship TargetMode="External" Target="https://www.comunicabaciadesantos.com.br/sites/default/files/RF4_R3-relatorio_rev0_abr2019.pdf" Id="docRId27" Type="http://schemas.openxmlformats.org/officeDocument/2006/relationships/hyperlink" /><Relationship TargetMode="External" Target="https://doi.org/10.1016/S0380-1330(96)70985-1" Id="docRId30" Type="http://schemas.openxmlformats.org/officeDocument/2006/relationships/hyperlink" /><Relationship Target="embeddings/oleObject5.bin" Id="docRId11" Type="http://schemas.openxmlformats.org/officeDocument/2006/relationships/oleObject" /><Relationship TargetMode="External" Target="https://www.atsdr.cdc.gov/ToxProfiles/tp.asp?id=102&amp;tid=23" Id="docRId19" Type="http://schemas.openxmlformats.org/officeDocument/2006/relationships/hyperlink" /><Relationship TargetMode="External" Target="http://mapadeconflitos.ensp.fiocruz.br/?conflito=rj-pescadores-artesanais-quilombolas-e-outros-moradores-do-entorno-da-baia-de-sepetiba-sem-peixes-expostos-a-contaminacoes-e-ameacados-por-milicias-ligadas-a-empreendimentos-em-construcao" Id="docRId26" Type="http://schemas.openxmlformats.org/officeDocument/2006/relationships/hyperlink" /><Relationship Target="numbering.xml" Id="docRId31" Type="http://schemas.openxmlformats.org/officeDocument/2006/relationships/numbering" /><Relationship Target="embeddings/oleObject2.bin" Id="docRId5" Type="http://schemas.openxmlformats.org/officeDocument/2006/relationships/oleObject" /><Relationship TargetMode="External" Target="https://www.atsdr.cdc.gov/ToxProfiles/tp.asp?id=206&amp;tid=37" Id="docRId16" Type="http://schemas.openxmlformats.org/officeDocument/2006/relationships/hyperlink" /><Relationship TargetMode="External" Target="https://www.crq4.org.br/quimica_viva__os_metais_e_a_saude_humana" Id="docRId25" Type="http://schemas.openxmlformats.org/officeDocument/2006/relationships/hyperlink" /><Relationship Target="styles.xml" Id="docRId32" Type="http://schemas.openxmlformats.org/officeDocument/2006/relationships/styles" /><Relationship Target="media/image1.wmf" Id="docRId4" Type="http://schemas.openxmlformats.org/officeDocument/2006/relationships/image" /><Relationship TargetMode="External" Target="https://www.atsdr.cdc.gov/toxprofiles/TP.asp?id=327&amp;tid=57" Id="docRId17" Type="http://schemas.openxmlformats.org/officeDocument/2006/relationships/hyperlink" /><Relationship TargetMode="External" Target="https://doi.org/10.1016/0048-9697(87)90169-0" Id="docRId24" Type="http://schemas.openxmlformats.org/officeDocument/2006/relationships/hyperlink" /></Relationships>
</file>